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Lines="50" w:beforeAutospacing="0" w:afterLines="50" w:afterAutospacing="0"/>
        <w:jc w:val="center"/>
        <w:rPr>
          <w:rFonts w:hint="eastAsia" w:ascii="Times New Roman" w:hAnsi="Times New Roman" w:eastAsia="黑体"/>
          <w:bCs/>
          <w:color w:val="000000" w:themeColor="text1"/>
          <w:sz w:val="30"/>
          <w:szCs w:val="30"/>
        </w:rPr>
      </w:pPr>
    </w:p>
    <w:p>
      <w:pPr>
        <w:pStyle w:val="8"/>
        <w:spacing w:beforeLines="50" w:beforeAutospacing="0" w:afterLines="50" w:afterAutospacing="0"/>
        <w:jc w:val="center"/>
        <w:rPr>
          <w:rFonts w:hint="eastAsia" w:ascii="Times New Roman" w:hAnsi="Times New Roman" w:eastAsia="黑体"/>
          <w:bCs/>
          <w:color w:val="000000" w:themeColor="text1"/>
          <w:sz w:val="30"/>
          <w:szCs w:val="30"/>
        </w:rPr>
      </w:pPr>
      <w:r>
        <w:rPr>
          <w:rFonts w:hint="eastAsia" w:ascii="Times New Roman" w:hAnsi="Times New Roman" w:eastAsia="黑体"/>
          <w:bCs/>
          <w:color w:val="000000" w:themeColor="text1"/>
          <w:sz w:val="30"/>
          <w:szCs w:val="30"/>
        </w:rPr>
        <w:t>2020年江苏省研究生乡村振兴与农林转型发展学术创新论坛</w:t>
      </w:r>
    </w:p>
    <w:p>
      <w:pPr>
        <w:pStyle w:val="8"/>
        <w:spacing w:beforeLines="50" w:beforeAutospacing="0" w:afterLines="50" w:afterAutospacing="0"/>
        <w:jc w:val="center"/>
        <w:rPr>
          <w:rFonts w:ascii="Times New Roman" w:hAnsi="Times New Roman" w:eastAsia="黑体"/>
          <w:bCs/>
          <w:color w:val="000000" w:themeColor="text1"/>
          <w:sz w:val="30"/>
          <w:szCs w:val="30"/>
        </w:rPr>
      </w:pPr>
      <w:r>
        <w:rPr>
          <w:rFonts w:hint="eastAsia" w:ascii="Times New Roman" w:hAnsi="Times New Roman" w:eastAsia="黑体"/>
          <w:bCs/>
          <w:color w:val="000000" w:themeColor="text1"/>
          <w:sz w:val="30"/>
          <w:szCs w:val="30"/>
        </w:rPr>
        <w:t>投稿论文</w:t>
      </w:r>
      <w:bookmarkStart w:id="6" w:name="_GoBack"/>
      <w:bookmarkEnd w:id="6"/>
      <w:r>
        <w:rPr>
          <w:rFonts w:hint="eastAsia" w:ascii="Times New Roman" w:hAnsi="Times New Roman" w:eastAsia="黑体"/>
          <w:bCs/>
          <w:color w:val="000000" w:themeColor="text1"/>
          <w:sz w:val="30"/>
          <w:szCs w:val="30"/>
        </w:rPr>
        <w:t>统一格式要求</w:t>
      </w:r>
    </w:p>
    <w:p>
      <w:pPr>
        <w:pStyle w:val="8"/>
        <w:spacing w:beforeLines="50" w:beforeAutospacing="0" w:afterLines="50" w:afterAutospacing="0" w:line="360" w:lineRule="auto"/>
        <w:ind w:firstLine="472" w:firstLineChars="196"/>
        <w:jc w:val="both"/>
        <w:rPr>
          <w:rFonts w:ascii="Times New Roman" w:hAnsi="Times New Roman"/>
          <w:b/>
          <w:color w:val="000000" w:themeColor="text1"/>
        </w:rPr>
      </w:pPr>
      <w:r>
        <w:rPr>
          <w:rFonts w:hint="eastAsia" w:ascii="Times New Roman" w:hAnsi="Times New Roman"/>
          <w:b/>
          <w:color w:val="000000" w:themeColor="text1"/>
        </w:rPr>
        <w:t>请所有投稿同学严格按照设定的论文格式排版，以便统一排版成集。格式不按照统一格式排版的文章不进入评审程序。</w:t>
      </w:r>
    </w:p>
    <w:p>
      <w:pPr>
        <w:pStyle w:val="8"/>
        <w:spacing w:before="0" w:beforeAutospacing="0" w:after="0" w:afterAutospacing="0" w:line="360" w:lineRule="auto"/>
        <w:ind w:left="482" w:hanging="482" w:hangingChars="200"/>
        <w:jc w:val="both"/>
        <w:rPr>
          <w:rFonts w:ascii="Times New Roman" w:hAnsi="Times New Roman"/>
          <w:color w:val="000000" w:themeColor="text1"/>
        </w:rPr>
      </w:pPr>
      <w:r>
        <w:rPr>
          <w:rFonts w:hint="eastAsia" w:ascii="Times New Roman" w:hAnsi="Times New Roman"/>
          <w:b/>
          <w:bCs/>
          <w:color w:val="000000" w:themeColor="text1"/>
        </w:rPr>
        <w:t>1.页面设置</w:t>
      </w:r>
    </w:p>
    <w:p>
      <w:pPr>
        <w:pStyle w:val="8"/>
        <w:spacing w:before="0" w:beforeAutospacing="0" w:after="0" w:afterAutospacing="0" w:line="360" w:lineRule="auto"/>
        <w:ind w:firstLine="480" w:firstLineChars="200"/>
        <w:jc w:val="both"/>
        <w:rPr>
          <w:rFonts w:ascii="Times New Roman" w:hAnsi="Times New Roman"/>
          <w:color w:val="000000" w:themeColor="text1"/>
        </w:rPr>
      </w:pPr>
      <w:r>
        <w:rPr>
          <w:rFonts w:hint="eastAsia" w:ascii="Times New Roman" w:hAnsi="Times New Roman"/>
          <w:color w:val="000000" w:themeColor="text1"/>
        </w:rPr>
        <w:t>A4纸，页面边距为上下边距2.5厘米，左右边距3厘米。正文、摘要和关键词行间距均为固定值18磅，正文前标题、作者名及年级等行间距为单倍行距。页眉为文章中文标题名，仿宋小五号字居中。</w:t>
      </w:r>
    </w:p>
    <w:p>
      <w:pPr>
        <w:spacing w:before="50" w:after="50" w:line="360" w:lineRule="auto"/>
        <w:ind w:left="241" w:hanging="241" w:hangingChars="100"/>
        <w:jc w:val="left"/>
        <w:rPr>
          <w:b/>
          <w:bCs/>
          <w:color w:val="000000" w:themeColor="text1"/>
          <w:sz w:val="24"/>
        </w:rPr>
      </w:pPr>
      <w:r>
        <w:rPr>
          <w:rFonts w:hint="eastAsia"/>
          <w:b/>
          <w:bCs/>
          <w:color w:val="000000" w:themeColor="text1"/>
          <w:sz w:val="24"/>
        </w:rPr>
        <w:t>2．字体与字号</w:t>
      </w:r>
    </w:p>
    <w:p>
      <w:pPr>
        <w:spacing w:line="360" w:lineRule="auto"/>
        <w:ind w:firstLine="480" w:firstLineChars="200"/>
        <w:jc w:val="left"/>
        <w:rPr>
          <w:color w:val="000000" w:themeColor="text1"/>
          <w:sz w:val="24"/>
        </w:rPr>
      </w:pPr>
      <w:r>
        <w:rPr>
          <w:rFonts w:hint="eastAsia"/>
          <w:color w:val="000000" w:themeColor="text1"/>
          <w:sz w:val="24"/>
        </w:rPr>
        <w:t>(1)正文前依次为文章中文标题、作者名、作者年级、中文摘要和关键词、英文标题、英文作者名、作者年级、英文摘要和英文关键词。</w:t>
      </w:r>
      <w:r>
        <w:rPr>
          <w:rFonts w:hint="eastAsia"/>
          <w:color w:val="000000" w:themeColor="text1"/>
          <w:sz w:val="24"/>
        </w:rPr>
        <w:br w:type="textWrapping"/>
      </w:r>
      <w:r>
        <w:rPr>
          <w:color w:val="000000" w:themeColor="text1"/>
          <w:sz w:val="24"/>
        </w:rPr>
        <w:t xml:space="preserve">    </w:t>
      </w:r>
      <w:r>
        <w:rPr>
          <w:rFonts w:hint="eastAsia"/>
          <w:color w:val="000000" w:themeColor="text1"/>
          <w:sz w:val="24"/>
        </w:rPr>
        <w:t>(2)文章标题为华文新魏小二号字，居中。作者名为楷体小四号居中（若作者为多人，中间用逗号分隔）、作者年级（如南京林业大学经济管理学院17级硕（博）士研究生）仿宋小五号居中。英文标题为</w:t>
      </w:r>
      <w:r>
        <w:rPr>
          <w:color w:val="000000" w:themeColor="text1"/>
          <w:sz w:val="24"/>
        </w:rPr>
        <w:t>Time New Roman</w:t>
      </w:r>
      <w:r>
        <w:rPr>
          <w:rFonts w:hint="eastAsia"/>
          <w:color w:val="000000" w:themeColor="text1"/>
          <w:sz w:val="24"/>
        </w:rPr>
        <w:t>小三号居中，英文作者名为</w:t>
      </w:r>
      <w:r>
        <w:rPr>
          <w:color w:val="000000" w:themeColor="text1"/>
          <w:sz w:val="24"/>
        </w:rPr>
        <w:t>Time New Roman</w:t>
      </w:r>
      <w:r>
        <w:rPr>
          <w:rFonts w:hint="eastAsia"/>
          <w:color w:val="000000" w:themeColor="text1"/>
          <w:sz w:val="24"/>
        </w:rPr>
        <w:t>小四号居中，作者年级为</w:t>
      </w:r>
      <w:r>
        <w:rPr>
          <w:color w:val="000000" w:themeColor="text1"/>
          <w:sz w:val="24"/>
        </w:rPr>
        <w:t>Time New Roman</w:t>
      </w:r>
      <w:r>
        <w:rPr>
          <w:rFonts w:hint="eastAsia"/>
          <w:color w:val="000000" w:themeColor="text1"/>
          <w:sz w:val="24"/>
        </w:rPr>
        <w:t>小五居中（如Postgraduate-2016</w:t>
      </w:r>
      <w:r>
        <w:rPr>
          <w:color w:val="000000" w:themeColor="text1"/>
          <w:sz w:val="24"/>
        </w:rPr>
        <w:t xml:space="preserve">, </w:t>
      </w:r>
      <w:r>
        <w:rPr>
          <w:rFonts w:hint="eastAsia"/>
          <w:color w:val="000000" w:themeColor="text1"/>
          <w:sz w:val="24"/>
        </w:rPr>
        <w:t>College</w:t>
      </w:r>
      <w:r>
        <w:rPr>
          <w:color w:val="000000" w:themeColor="text1"/>
          <w:sz w:val="24"/>
        </w:rPr>
        <w:t xml:space="preserve"> of </w:t>
      </w:r>
      <w:r>
        <w:rPr>
          <w:rFonts w:hint="eastAsia"/>
          <w:color w:val="000000" w:themeColor="text1"/>
          <w:sz w:val="24"/>
        </w:rPr>
        <w:t xml:space="preserve">Economics and </w:t>
      </w:r>
      <w:r>
        <w:rPr>
          <w:color w:val="000000" w:themeColor="text1"/>
          <w:sz w:val="24"/>
        </w:rPr>
        <w:t xml:space="preserve">Management, </w:t>
      </w:r>
      <w:r>
        <w:rPr>
          <w:rFonts w:hint="eastAsia"/>
          <w:color w:val="000000" w:themeColor="text1"/>
          <w:sz w:val="24"/>
        </w:rPr>
        <w:t>Nanjing Forestry University）。</w:t>
      </w:r>
    </w:p>
    <w:p>
      <w:pPr>
        <w:pStyle w:val="8"/>
        <w:spacing w:before="0" w:beforeAutospacing="0" w:after="0" w:afterAutospacing="0" w:line="360" w:lineRule="auto"/>
        <w:ind w:firstLine="480" w:firstLineChars="200"/>
        <w:rPr>
          <w:rFonts w:ascii="Times New Roman" w:hAnsi="Times New Roman"/>
          <w:color w:val="000000" w:themeColor="text1"/>
        </w:rPr>
      </w:pPr>
      <w:r>
        <w:rPr>
          <w:rFonts w:hint="eastAsia" w:ascii="Times New Roman" w:hAnsi="Times New Roman"/>
          <w:color w:val="000000" w:themeColor="text1"/>
        </w:rPr>
        <w:t>（3）中文摘要：内容和关键词为宋体五号，其中“摘要：</w:t>
      </w:r>
      <w:r>
        <w:rPr>
          <w:rFonts w:ascii="Times New Roman" w:hAnsi="Times New Roman"/>
          <w:color w:val="000000" w:themeColor="text1"/>
        </w:rPr>
        <w:t>”</w:t>
      </w:r>
      <w:r>
        <w:rPr>
          <w:rFonts w:hint="eastAsia" w:ascii="Times New Roman" w:hAnsi="Times New Roman"/>
          <w:color w:val="000000" w:themeColor="text1"/>
        </w:rPr>
        <w:t>和“关键词：”为宋体五号加粗；英文摘要：内容和关键词为Time New Roman五号，“Abstract”和“Key Words</w:t>
      </w:r>
      <w:r>
        <w:rPr>
          <w:rFonts w:ascii="Times New Roman" w:hAnsi="Times New Roman"/>
          <w:color w:val="000000" w:themeColor="text1"/>
        </w:rPr>
        <w:t>”</w:t>
      </w:r>
      <w:r>
        <w:rPr>
          <w:rFonts w:hint="eastAsia" w:ascii="Times New Roman" w:hAnsi="Times New Roman"/>
          <w:color w:val="000000" w:themeColor="text1"/>
        </w:rPr>
        <w:t xml:space="preserve"> 为Time New Roman五号加粗。</w:t>
      </w:r>
      <w:r>
        <w:rPr>
          <w:rFonts w:hint="eastAsia" w:ascii="Times New Roman" w:hAnsi="Times New Roman"/>
          <w:color w:val="000000" w:themeColor="text1"/>
        </w:rPr>
        <w:br w:type="textWrapping"/>
      </w:r>
      <w:r>
        <w:rPr>
          <w:rFonts w:hint="eastAsia" w:ascii="Times New Roman" w:hAnsi="Times New Roman"/>
          <w:color w:val="000000" w:themeColor="text1"/>
        </w:rPr>
        <w:t>　　(4) 正文宋体五号</w:t>
      </w:r>
      <w:r>
        <w:rPr>
          <w:rFonts w:hint="eastAsia" w:ascii="Times New Roman" w:hAnsi="Times New Roman"/>
          <w:color w:val="000000" w:themeColor="text1"/>
        </w:rPr>
        <w:br w:type="textWrapping"/>
      </w:r>
      <w:r>
        <w:rPr>
          <w:rFonts w:hint="eastAsia" w:ascii="Times New Roman" w:hAnsi="Times New Roman"/>
          <w:color w:val="000000" w:themeColor="text1"/>
        </w:rPr>
        <w:t>　　(5) 一级标题黑体小四号，序号使用"1"，"2"，…</w:t>
      </w:r>
      <w:r>
        <w:rPr>
          <w:rFonts w:hint="eastAsia" w:ascii="Times New Roman" w:hAnsi="Times New Roman"/>
          <w:color w:val="000000" w:themeColor="text1"/>
        </w:rPr>
        <w:br w:type="textWrapping"/>
      </w:r>
      <w:r>
        <w:rPr>
          <w:rFonts w:hint="eastAsia" w:ascii="Times New Roman" w:hAnsi="Times New Roman"/>
          <w:color w:val="000000" w:themeColor="text1"/>
        </w:rPr>
        <w:t>　　(6) 二级标题楷体五号加粗，序号使用"1.1"，"1.2"，…</w:t>
      </w:r>
      <w:r>
        <w:rPr>
          <w:rFonts w:hint="eastAsia" w:ascii="Times New Roman" w:hAnsi="Times New Roman"/>
          <w:color w:val="000000" w:themeColor="text1"/>
        </w:rPr>
        <w:br w:type="textWrapping"/>
      </w:r>
      <w:r>
        <w:rPr>
          <w:rFonts w:hint="eastAsia" w:ascii="Times New Roman" w:hAnsi="Times New Roman"/>
          <w:color w:val="000000" w:themeColor="text1"/>
        </w:rPr>
        <w:t>　　(7) 三级标题同正文使用宋体五号，序号使用"1.1.1"，"1.1.2"，…；如果还有下一级序号使用"（1）"，"（2）"，…</w:t>
      </w:r>
      <w:r>
        <w:rPr>
          <w:rFonts w:hint="eastAsia" w:ascii="Times New Roman" w:hAnsi="Times New Roman"/>
          <w:color w:val="000000" w:themeColor="text1"/>
        </w:rPr>
        <w:br w:type="textWrapping"/>
      </w:r>
      <w:r>
        <w:rPr>
          <w:rFonts w:hint="eastAsia" w:ascii="Times New Roman" w:hAnsi="Times New Roman"/>
          <w:color w:val="000000" w:themeColor="text1"/>
        </w:rPr>
        <w:t>　　(8) 参考文献使用宋体小五号，若有英文为Time New Roman小五号，其中"参考文献："为宋体五号加粗</w:t>
      </w:r>
      <w:r>
        <w:rPr>
          <w:rFonts w:hint="eastAsia" w:ascii="Times New Roman" w:hAnsi="Times New Roman"/>
          <w:color w:val="000000" w:themeColor="text1"/>
        </w:rPr>
        <w:br w:type="textWrapping"/>
      </w:r>
      <w:r>
        <w:rPr>
          <w:rFonts w:hint="eastAsia" w:ascii="Times New Roman" w:hAnsi="Times New Roman"/>
          <w:color w:val="000000" w:themeColor="text1"/>
        </w:rPr>
        <w:t>　　(9) 图表名称宋体小五号字，图表必须有图表名称，格式如：表1：***，图1：***。表的名称在表的上方并居中，图的名称在图的下方并居中。在图表应当在正文有明确的相关指示，如"见图1（表1）/如图1（表1）所示"。</w:t>
      </w:r>
    </w:p>
    <w:p>
      <w:pPr>
        <w:pStyle w:val="8"/>
        <w:spacing w:beforeLines="50" w:beforeAutospacing="0" w:afterLines="50" w:afterAutospacing="0" w:line="360" w:lineRule="auto"/>
        <w:rPr>
          <w:rFonts w:ascii="Times New Roman" w:hAnsi="Times New Roman"/>
          <w:color w:val="000000" w:themeColor="text1"/>
        </w:rPr>
      </w:pPr>
      <w:r>
        <w:rPr>
          <w:rFonts w:hint="eastAsia" w:ascii="Times New Roman" w:hAnsi="Times New Roman"/>
          <w:color w:val="000000" w:themeColor="text1"/>
        </w:rPr>
        <w:t xml:space="preserve">    (10)注释应是脚注，若是尾注请改成脚注；脚注全文顺序排列，注释序号（上标）用带圆圈的阿拉伯数字表示。注释字体为宋体小五。</w:t>
      </w:r>
    </w:p>
    <w:p>
      <w:pPr>
        <w:shd w:val="clear" w:color="auto" w:fill="FFFFFF"/>
        <w:spacing w:beforeLines="50" w:afterLines="50" w:line="360" w:lineRule="auto"/>
        <w:ind w:firstLine="472" w:firstLineChars="196"/>
        <w:rPr>
          <w:b/>
          <w:bCs/>
          <w:color w:val="000000" w:themeColor="text1"/>
          <w:sz w:val="24"/>
        </w:rPr>
      </w:pPr>
      <w:r>
        <w:rPr>
          <w:rFonts w:hint="eastAsia"/>
          <w:b/>
          <w:bCs/>
          <w:color w:val="000000" w:themeColor="text1"/>
          <w:sz w:val="24"/>
        </w:rPr>
        <w:t>3．参考文献内容与格式</w:t>
      </w:r>
    </w:p>
    <w:p>
      <w:pPr>
        <w:widowControl/>
        <w:shd w:val="clear" w:color="auto" w:fill="FFFFFF"/>
        <w:spacing w:beforeLines="50" w:afterLines="50" w:line="360" w:lineRule="auto"/>
        <w:ind w:firstLine="420"/>
        <w:jc w:val="left"/>
        <w:rPr>
          <w:color w:val="000000" w:themeColor="text1"/>
          <w:sz w:val="24"/>
        </w:rPr>
      </w:pPr>
      <w:r>
        <w:rPr>
          <w:rFonts w:cs="宋体"/>
          <w:color w:val="000000" w:themeColor="text1"/>
          <w:kern w:val="0"/>
          <w:sz w:val="24"/>
        </w:rPr>
        <w:t>参考文献是文中引用的有具体文字来源的文献集合，其著录项目和著录格式应遵照GB/T7714-2005的规定执行。所有被引用文献均要列入参考文献表中。如果引文采用著者-出版年制标注时，参考文献应按著者字顺和出版年排序。</w:t>
      </w:r>
    </w:p>
    <w:p>
      <w:pPr>
        <w:shd w:val="clear" w:color="auto" w:fill="FFFFFF"/>
        <w:spacing w:beforeLines="50" w:afterLines="50" w:line="360" w:lineRule="auto"/>
        <w:ind w:firstLine="360" w:firstLineChars="150"/>
        <w:rPr>
          <w:rFonts w:cs="宋体"/>
          <w:color w:val="000000" w:themeColor="text1"/>
          <w:kern w:val="0"/>
          <w:sz w:val="24"/>
        </w:rPr>
      </w:pPr>
      <w:r>
        <w:rPr>
          <w:rFonts w:hint="eastAsia" w:cs="宋体"/>
          <w:color w:val="000000" w:themeColor="text1"/>
          <w:kern w:val="0"/>
          <w:sz w:val="24"/>
        </w:rPr>
        <w:t>（1）</w:t>
      </w:r>
      <w:r>
        <w:rPr>
          <w:rFonts w:cs="宋体"/>
          <w:color w:val="000000" w:themeColor="text1"/>
          <w:kern w:val="0"/>
          <w:sz w:val="24"/>
        </w:rPr>
        <w:t>专著</w:t>
      </w:r>
    </w:p>
    <w:p>
      <w:pPr>
        <w:widowControl/>
        <w:shd w:val="clear" w:color="auto" w:fill="FFFFFF"/>
        <w:spacing w:beforeLines="50" w:afterLines="50" w:line="360" w:lineRule="auto"/>
        <w:ind w:firstLine="420"/>
        <w:jc w:val="left"/>
        <w:rPr>
          <w:rFonts w:cs="宋体"/>
          <w:color w:val="000000" w:themeColor="text1"/>
          <w:kern w:val="0"/>
          <w:sz w:val="24"/>
        </w:rPr>
      </w:pPr>
      <w:r>
        <w:rPr>
          <w:rFonts w:cs="宋体"/>
          <w:color w:val="000000" w:themeColor="text1"/>
          <w:kern w:val="0"/>
          <w:sz w:val="24"/>
        </w:rPr>
        <w:t>主要责任者.题名[文献类型标志].出版地：出版者，出版年：引文页码.</w:t>
      </w:r>
    </w:p>
    <w:p>
      <w:pPr>
        <w:widowControl/>
        <w:shd w:val="clear" w:color="auto" w:fill="FFFFFF"/>
        <w:spacing w:beforeLines="50" w:afterLines="50" w:line="360" w:lineRule="auto"/>
        <w:ind w:firstLine="420"/>
        <w:jc w:val="left"/>
        <w:rPr>
          <w:rFonts w:cs="宋体"/>
          <w:color w:val="000000" w:themeColor="text1"/>
          <w:kern w:val="0"/>
          <w:sz w:val="24"/>
        </w:rPr>
      </w:pPr>
      <w:r>
        <w:rPr>
          <w:rFonts w:hint="eastAsia" w:cs="宋体"/>
          <w:color w:val="000000" w:themeColor="text1"/>
          <w:kern w:val="0"/>
          <w:sz w:val="24"/>
        </w:rPr>
        <w:t>（2）</w:t>
      </w:r>
      <w:r>
        <w:rPr>
          <w:rFonts w:cs="宋体"/>
          <w:color w:val="000000" w:themeColor="text1"/>
          <w:kern w:val="0"/>
          <w:sz w:val="24"/>
        </w:rPr>
        <w:t>专著中的析出文献</w:t>
      </w:r>
    </w:p>
    <w:p>
      <w:pPr>
        <w:widowControl/>
        <w:shd w:val="clear" w:color="auto" w:fill="FFFFFF"/>
        <w:spacing w:beforeLines="50" w:afterLines="50" w:line="360" w:lineRule="auto"/>
        <w:ind w:firstLine="420"/>
        <w:jc w:val="left"/>
        <w:rPr>
          <w:rFonts w:cs="宋体"/>
          <w:color w:val="000000" w:themeColor="text1"/>
          <w:kern w:val="0"/>
          <w:sz w:val="24"/>
        </w:rPr>
      </w:pPr>
      <w:r>
        <w:rPr>
          <w:rFonts w:cs="宋体"/>
          <w:color w:val="000000" w:themeColor="text1"/>
          <w:kern w:val="0"/>
          <w:sz w:val="24"/>
        </w:rPr>
        <w:t>析出文献主要责任者.析出文献题名[文献类型标志].//专著主要责任者.专著题名.出版地：出版者，出版年：引文页码.</w:t>
      </w:r>
    </w:p>
    <w:p>
      <w:pPr>
        <w:widowControl/>
        <w:shd w:val="clear" w:color="auto" w:fill="FFFFFF"/>
        <w:spacing w:beforeLines="50" w:afterLines="50" w:line="360" w:lineRule="auto"/>
        <w:ind w:firstLine="420"/>
        <w:jc w:val="left"/>
        <w:rPr>
          <w:rFonts w:cs="宋体"/>
          <w:color w:val="000000" w:themeColor="text1"/>
          <w:kern w:val="0"/>
          <w:sz w:val="24"/>
        </w:rPr>
      </w:pPr>
      <w:r>
        <w:rPr>
          <w:rFonts w:hint="eastAsia" w:cs="宋体"/>
          <w:color w:val="000000" w:themeColor="text1"/>
          <w:kern w:val="0"/>
          <w:sz w:val="24"/>
        </w:rPr>
        <w:t>（3）</w:t>
      </w:r>
      <w:r>
        <w:rPr>
          <w:rFonts w:cs="宋体"/>
          <w:color w:val="000000" w:themeColor="text1"/>
          <w:kern w:val="0"/>
          <w:sz w:val="24"/>
        </w:rPr>
        <w:t>连续出版物</w:t>
      </w:r>
    </w:p>
    <w:p>
      <w:pPr>
        <w:widowControl/>
        <w:shd w:val="clear" w:color="auto" w:fill="FFFFFF"/>
        <w:spacing w:beforeLines="50" w:afterLines="50" w:line="360" w:lineRule="auto"/>
        <w:ind w:firstLine="420"/>
        <w:jc w:val="left"/>
        <w:rPr>
          <w:rFonts w:cs="宋体"/>
          <w:color w:val="000000" w:themeColor="text1"/>
          <w:kern w:val="0"/>
          <w:sz w:val="24"/>
        </w:rPr>
      </w:pPr>
      <w:r>
        <w:rPr>
          <w:rFonts w:cs="宋体"/>
          <w:color w:val="000000" w:themeColor="text1"/>
          <w:kern w:val="0"/>
          <w:sz w:val="24"/>
        </w:rPr>
        <w:t>主要责任者.题名[文献类型标志].年，卷（期）-年，卷（期）.出版地：出版者，出版年.</w:t>
      </w:r>
    </w:p>
    <w:p>
      <w:pPr>
        <w:widowControl/>
        <w:shd w:val="clear" w:color="auto" w:fill="FFFFFF"/>
        <w:spacing w:beforeLines="50" w:afterLines="50" w:line="360" w:lineRule="auto"/>
        <w:ind w:firstLine="420"/>
        <w:jc w:val="left"/>
        <w:rPr>
          <w:rFonts w:cs="宋体"/>
          <w:color w:val="000000" w:themeColor="text1"/>
          <w:kern w:val="0"/>
          <w:sz w:val="24"/>
        </w:rPr>
      </w:pPr>
      <w:r>
        <w:rPr>
          <w:rFonts w:hint="eastAsia" w:cs="宋体"/>
          <w:color w:val="000000" w:themeColor="text1"/>
          <w:kern w:val="0"/>
          <w:sz w:val="24"/>
        </w:rPr>
        <w:t>（4）</w:t>
      </w:r>
      <w:r>
        <w:rPr>
          <w:rFonts w:cs="宋体"/>
          <w:color w:val="000000" w:themeColor="text1"/>
          <w:kern w:val="0"/>
          <w:sz w:val="24"/>
        </w:rPr>
        <w:t>连续出版物中的析出文献</w:t>
      </w:r>
    </w:p>
    <w:p>
      <w:pPr>
        <w:widowControl/>
        <w:shd w:val="clear" w:color="auto" w:fill="FFFFFF"/>
        <w:spacing w:beforeLines="50" w:afterLines="50" w:line="360" w:lineRule="auto"/>
        <w:ind w:firstLine="420"/>
        <w:jc w:val="left"/>
        <w:rPr>
          <w:rFonts w:cs="宋体"/>
          <w:color w:val="000000" w:themeColor="text1"/>
          <w:kern w:val="0"/>
          <w:sz w:val="24"/>
        </w:rPr>
      </w:pPr>
      <w:r>
        <w:rPr>
          <w:rFonts w:cs="宋体"/>
          <w:color w:val="000000" w:themeColor="text1"/>
          <w:kern w:val="0"/>
          <w:sz w:val="24"/>
        </w:rPr>
        <w:t>析出文献主要责任者.析出文献题名[文献类型标志].连续出版物题名，年，卷（期）：页码.</w:t>
      </w:r>
    </w:p>
    <w:p>
      <w:pPr>
        <w:widowControl/>
        <w:shd w:val="clear" w:color="auto" w:fill="FFFFFF"/>
        <w:spacing w:beforeLines="50" w:afterLines="50" w:line="360" w:lineRule="auto"/>
        <w:ind w:firstLine="420"/>
        <w:jc w:val="left"/>
        <w:rPr>
          <w:rFonts w:cs="宋体"/>
          <w:color w:val="000000" w:themeColor="text1"/>
          <w:kern w:val="0"/>
          <w:sz w:val="24"/>
        </w:rPr>
      </w:pPr>
      <w:r>
        <w:rPr>
          <w:rFonts w:hint="eastAsia" w:cs="宋体"/>
          <w:color w:val="000000" w:themeColor="text1"/>
          <w:kern w:val="0"/>
          <w:sz w:val="24"/>
        </w:rPr>
        <w:t>（5）</w:t>
      </w:r>
      <w:r>
        <w:rPr>
          <w:rFonts w:cs="宋体"/>
          <w:color w:val="000000" w:themeColor="text1"/>
          <w:kern w:val="0"/>
          <w:sz w:val="24"/>
        </w:rPr>
        <w:t>专利文献</w:t>
      </w:r>
    </w:p>
    <w:p>
      <w:pPr>
        <w:widowControl/>
        <w:shd w:val="clear" w:color="auto" w:fill="FFFFFF"/>
        <w:spacing w:beforeLines="50" w:afterLines="50" w:line="360" w:lineRule="auto"/>
        <w:ind w:firstLine="420"/>
        <w:jc w:val="left"/>
        <w:rPr>
          <w:rFonts w:cs="宋体"/>
          <w:color w:val="000000" w:themeColor="text1"/>
          <w:kern w:val="0"/>
          <w:sz w:val="24"/>
        </w:rPr>
      </w:pPr>
      <w:r>
        <w:rPr>
          <w:rFonts w:cs="宋体"/>
          <w:color w:val="000000" w:themeColor="text1"/>
          <w:kern w:val="0"/>
          <w:sz w:val="24"/>
        </w:rPr>
        <w:t>专利申请者或所有者.专利题名：专利国别，专利号[文献类型标志].公告日期或公开日期.</w:t>
      </w:r>
    </w:p>
    <w:p>
      <w:pPr>
        <w:widowControl/>
        <w:shd w:val="clear" w:color="auto" w:fill="FFFFFF"/>
        <w:spacing w:beforeLines="50" w:afterLines="50" w:line="360" w:lineRule="auto"/>
        <w:ind w:firstLine="420"/>
        <w:jc w:val="left"/>
        <w:rPr>
          <w:rFonts w:cs="宋体"/>
          <w:color w:val="000000" w:themeColor="text1"/>
          <w:kern w:val="0"/>
          <w:sz w:val="24"/>
        </w:rPr>
      </w:pPr>
      <w:r>
        <w:rPr>
          <w:rFonts w:hint="eastAsia" w:cs="宋体"/>
          <w:color w:val="000000" w:themeColor="text1"/>
          <w:kern w:val="0"/>
          <w:sz w:val="24"/>
        </w:rPr>
        <w:t>（6）</w:t>
      </w:r>
      <w:r>
        <w:rPr>
          <w:rFonts w:cs="宋体"/>
          <w:color w:val="000000" w:themeColor="text1"/>
          <w:kern w:val="0"/>
          <w:sz w:val="24"/>
        </w:rPr>
        <w:t>电子文献</w:t>
      </w:r>
    </w:p>
    <w:p>
      <w:pPr>
        <w:widowControl/>
        <w:shd w:val="clear" w:color="auto" w:fill="FFFFFF"/>
        <w:spacing w:beforeLines="50" w:afterLines="50" w:line="360" w:lineRule="auto"/>
        <w:ind w:firstLine="420"/>
        <w:jc w:val="left"/>
        <w:rPr>
          <w:rFonts w:cs="宋体"/>
          <w:color w:val="000000" w:themeColor="text1"/>
          <w:kern w:val="0"/>
          <w:sz w:val="24"/>
        </w:rPr>
      </w:pPr>
      <w:r>
        <w:rPr>
          <w:rFonts w:cs="宋体"/>
          <w:color w:val="000000" w:themeColor="text1"/>
          <w:kern w:val="0"/>
          <w:sz w:val="24"/>
        </w:rPr>
        <w:t>主要责任者.题名[文献类型标志/文献载体标志].出版地：出版者，出版年（更新或修改日期）[引用日期].获取和访问途径.</w:t>
      </w:r>
    </w:p>
    <w:p>
      <w:pPr>
        <w:widowControl/>
        <w:shd w:val="clear" w:color="auto" w:fill="FFFFFF"/>
        <w:spacing w:beforeLines="50" w:afterLines="50" w:line="360" w:lineRule="auto"/>
        <w:ind w:firstLine="422"/>
        <w:jc w:val="left"/>
        <w:rPr>
          <w:rFonts w:cs="宋体"/>
          <w:color w:val="000000" w:themeColor="text1"/>
          <w:kern w:val="0"/>
          <w:sz w:val="24"/>
        </w:rPr>
      </w:pPr>
      <w:r>
        <w:rPr>
          <w:rFonts w:cs="宋体"/>
          <w:b/>
          <w:bCs/>
          <w:color w:val="000000" w:themeColor="text1"/>
          <w:kern w:val="0"/>
          <w:sz w:val="24"/>
        </w:rPr>
        <w:t>著录格式示例</w:t>
      </w:r>
    </w:p>
    <w:p>
      <w:pPr>
        <w:widowControl/>
        <w:shd w:val="clear" w:color="auto" w:fill="FFFFFF"/>
        <w:spacing w:beforeLines="50" w:afterLines="50" w:line="360" w:lineRule="auto"/>
        <w:ind w:firstLine="420"/>
        <w:jc w:val="left"/>
        <w:rPr>
          <w:rFonts w:cs="宋体"/>
          <w:color w:val="000000" w:themeColor="text1"/>
          <w:kern w:val="0"/>
          <w:sz w:val="24"/>
        </w:rPr>
      </w:pPr>
      <w:r>
        <w:rPr>
          <w:rFonts w:cs="宋体"/>
          <w:color w:val="000000" w:themeColor="text1"/>
          <w:kern w:val="0"/>
          <w:sz w:val="24"/>
        </w:rPr>
        <w:t>普通图书</w:t>
      </w:r>
    </w:p>
    <w:p>
      <w:pPr>
        <w:widowControl/>
        <w:shd w:val="clear" w:color="auto" w:fill="FFFFFF"/>
        <w:spacing w:beforeLines="50" w:afterLines="50" w:line="360" w:lineRule="auto"/>
        <w:ind w:firstLine="360"/>
        <w:jc w:val="left"/>
        <w:rPr>
          <w:rFonts w:cs="宋体"/>
          <w:color w:val="000000" w:themeColor="text1"/>
          <w:kern w:val="0"/>
          <w:sz w:val="24"/>
        </w:rPr>
      </w:pPr>
      <w:r>
        <w:rPr>
          <w:rFonts w:cs="宋体"/>
          <w:color w:val="000000" w:themeColor="text1"/>
          <w:kern w:val="0"/>
          <w:sz w:val="24"/>
        </w:rPr>
        <w:t>[1] 唐绪军.报业经济与报业经营[M].北京：新华出版社，1999：117-121.</w:t>
      </w:r>
    </w:p>
    <w:p>
      <w:pPr>
        <w:widowControl/>
        <w:shd w:val="clear" w:color="auto" w:fill="FFFFFF"/>
        <w:spacing w:beforeLines="50" w:afterLines="50" w:line="360" w:lineRule="auto"/>
        <w:ind w:firstLine="360"/>
        <w:jc w:val="left"/>
        <w:rPr>
          <w:rFonts w:cs="宋体"/>
          <w:color w:val="000000" w:themeColor="text1"/>
          <w:kern w:val="0"/>
          <w:sz w:val="24"/>
        </w:rPr>
      </w:pPr>
      <w:r>
        <w:rPr>
          <w:rFonts w:cs="宋体"/>
          <w:color w:val="000000" w:themeColor="text1"/>
          <w:kern w:val="0"/>
          <w:sz w:val="24"/>
        </w:rPr>
        <w:t>[2] 蒋有绪，郭泉水，马娟.中国森林群落分类及其群落学特征[M].北京：科学出版社，1998.</w:t>
      </w:r>
    </w:p>
    <w:p>
      <w:pPr>
        <w:widowControl/>
        <w:shd w:val="clear" w:color="auto" w:fill="FFFFFF"/>
        <w:spacing w:beforeLines="50" w:afterLines="50" w:line="360" w:lineRule="auto"/>
        <w:ind w:firstLine="420"/>
        <w:jc w:val="left"/>
        <w:rPr>
          <w:rFonts w:cs="宋体"/>
          <w:color w:val="000000" w:themeColor="text1"/>
          <w:kern w:val="0"/>
          <w:sz w:val="24"/>
        </w:rPr>
      </w:pPr>
      <w:r>
        <w:rPr>
          <w:rFonts w:cs="宋体"/>
          <w:color w:val="000000" w:themeColor="text1"/>
          <w:kern w:val="0"/>
          <w:sz w:val="24"/>
        </w:rPr>
        <w:t>论文集、会议录</w:t>
      </w:r>
    </w:p>
    <w:p>
      <w:pPr>
        <w:widowControl/>
        <w:shd w:val="clear" w:color="auto" w:fill="FFFFFF"/>
        <w:spacing w:beforeLines="50" w:afterLines="50" w:line="360" w:lineRule="auto"/>
        <w:ind w:firstLine="360"/>
        <w:jc w:val="left"/>
        <w:rPr>
          <w:rFonts w:cs="宋体"/>
          <w:color w:val="000000" w:themeColor="text1"/>
          <w:kern w:val="0"/>
          <w:sz w:val="24"/>
        </w:rPr>
      </w:pPr>
      <w:r>
        <w:rPr>
          <w:rFonts w:cs="宋体"/>
          <w:color w:val="000000" w:themeColor="text1"/>
          <w:kern w:val="0"/>
          <w:sz w:val="24"/>
        </w:rPr>
        <w:t>[1] 中国力学学会.第3届全国实验流体力学学术会议论文集[C].天津：天津大学出版社，1990.</w:t>
      </w:r>
    </w:p>
    <w:p>
      <w:pPr>
        <w:widowControl/>
        <w:shd w:val="clear" w:color="auto" w:fill="FFFFFF"/>
        <w:spacing w:beforeLines="50" w:afterLines="50" w:line="360" w:lineRule="auto"/>
        <w:ind w:firstLine="360"/>
        <w:jc w:val="left"/>
        <w:rPr>
          <w:rFonts w:cs="宋体"/>
          <w:color w:val="000000" w:themeColor="text1"/>
          <w:kern w:val="0"/>
          <w:sz w:val="24"/>
        </w:rPr>
      </w:pPr>
      <w:r>
        <w:rPr>
          <w:rFonts w:cs="宋体"/>
          <w:color w:val="000000" w:themeColor="text1"/>
          <w:kern w:val="0"/>
          <w:sz w:val="24"/>
        </w:rPr>
        <w:t>[2] ROSENTHALL E M. Proceedings of the Fifth Canadian Mathematical Congress. University of Montreal,1961[C]. Toronto:University of Toronto Press,1963.</w:t>
      </w:r>
    </w:p>
    <w:p>
      <w:pPr>
        <w:widowControl/>
        <w:shd w:val="clear" w:color="auto" w:fill="FFFFFF"/>
        <w:spacing w:beforeLines="50" w:afterLines="50" w:line="360" w:lineRule="auto"/>
        <w:ind w:firstLine="420"/>
        <w:jc w:val="left"/>
        <w:rPr>
          <w:rFonts w:cs="宋体"/>
          <w:color w:val="000000" w:themeColor="text1"/>
          <w:kern w:val="0"/>
          <w:sz w:val="24"/>
        </w:rPr>
      </w:pPr>
      <w:r>
        <w:rPr>
          <w:rFonts w:cs="宋体"/>
          <w:color w:val="000000" w:themeColor="text1"/>
          <w:kern w:val="0"/>
          <w:sz w:val="24"/>
        </w:rPr>
        <w:t>科技报告</w:t>
      </w:r>
    </w:p>
    <w:p>
      <w:pPr>
        <w:widowControl/>
        <w:shd w:val="clear" w:color="auto" w:fill="FFFFFF"/>
        <w:spacing w:beforeLines="50" w:afterLines="50" w:line="360" w:lineRule="auto"/>
        <w:ind w:firstLine="360"/>
        <w:jc w:val="left"/>
        <w:rPr>
          <w:rFonts w:cs="宋体"/>
          <w:color w:val="000000" w:themeColor="text1"/>
          <w:kern w:val="0"/>
          <w:sz w:val="24"/>
        </w:rPr>
      </w:pPr>
      <w:r>
        <w:rPr>
          <w:rFonts w:cs="宋体"/>
          <w:color w:val="000000" w:themeColor="text1"/>
          <w:kern w:val="0"/>
          <w:sz w:val="24"/>
        </w:rPr>
        <w:t>[1] World Health Organization.Factors regulating the immune response:report of WHO Scientific Group[R].Geneva:WHO,1970.</w:t>
      </w:r>
    </w:p>
    <w:p>
      <w:pPr>
        <w:widowControl/>
        <w:shd w:val="clear" w:color="auto" w:fill="FFFFFF"/>
        <w:spacing w:beforeLines="50" w:afterLines="50" w:line="360" w:lineRule="auto"/>
        <w:ind w:firstLine="420"/>
        <w:jc w:val="left"/>
        <w:rPr>
          <w:rFonts w:cs="宋体"/>
          <w:color w:val="000000" w:themeColor="text1"/>
          <w:kern w:val="0"/>
          <w:sz w:val="24"/>
        </w:rPr>
      </w:pPr>
      <w:r>
        <w:rPr>
          <w:rFonts w:cs="宋体"/>
          <w:color w:val="000000" w:themeColor="text1"/>
          <w:kern w:val="0"/>
          <w:sz w:val="24"/>
        </w:rPr>
        <w:t>学位论文</w:t>
      </w:r>
    </w:p>
    <w:p>
      <w:pPr>
        <w:widowControl/>
        <w:shd w:val="clear" w:color="auto" w:fill="FFFFFF"/>
        <w:spacing w:beforeLines="50" w:afterLines="50" w:line="360" w:lineRule="auto"/>
        <w:ind w:firstLine="360"/>
        <w:jc w:val="left"/>
        <w:rPr>
          <w:rFonts w:cs="宋体"/>
          <w:color w:val="000000" w:themeColor="text1"/>
          <w:kern w:val="0"/>
          <w:sz w:val="24"/>
        </w:rPr>
      </w:pPr>
      <w:r>
        <w:rPr>
          <w:rFonts w:cs="宋体"/>
          <w:color w:val="000000" w:themeColor="text1"/>
          <w:kern w:val="0"/>
          <w:sz w:val="24"/>
        </w:rPr>
        <w:t>[1] 张志祥.间断动力系统的随机扰动及其在守恒律方程中的应用[D].北京：北京大学数学学院，1998.</w:t>
      </w:r>
    </w:p>
    <w:p>
      <w:pPr>
        <w:widowControl/>
        <w:shd w:val="clear" w:color="auto" w:fill="FFFFFF"/>
        <w:spacing w:beforeLines="50" w:afterLines="50" w:line="360" w:lineRule="auto"/>
        <w:ind w:firstLine="360"/>
        <w:jc w:val="left"/>
        <w:rPr>
          <w:rFonts w:cs="宋体"/>
          <w:color w:val="000000" w:themeColor="text1"/>
          <w:kern w:val="0"/>
          <w:sz w:val="24"/>
        </w:rPr>
      </w:pPr>
      <w:r>
        <w:rPr>
          <w:rFonts w:cs="宋体"/>
          <w:color w:val="000000" w:themeColor="text1"/>
          <w:kern w:val="0"/>
          <w:sz w:val="24"/>
        </w:rPr>
        <w:t>[2] CALMS R B.Infrared spectroscopic studies on solid oxygen[D].Berkeley:University of California,1965.</w:t>
      </w:r>
    </w:p>
    <w:p>
      <w:pPr>
        <w:widowControl/>
        <w:shd w:val="clear" w:color="auto" w:fill="FFFFFF"/>
        <w:spacing w:beforeLines="50" w:afterLines="50" w:line="360" w:lineRule="auto"/>
        <w:ind w:firstLine="420"/>
        <w:jc w:val="left"/>
        <w:rPr>
          <w:rFonts w:cs="宋体"/>
          <w:color w:val="000000" w:themeColor="text1"/>
          <w:kern w:val="0"/>
          <w:sz w:val="24"/>
        </w:rPr>
      </w:pPr>
      <w:r>
        <w:rPr>
          <w:rFonts w:cs="宋体"/>
          <w:color w:val="000000" w:themeColor="text1"/>
          <w:kern w:val="0"/>
          <w:sz w:val="24"/>
        </w:rPr>
        <w:t>专利文献</w:t>
      </w:r>
    </w:p>
    <w:p>
      <w:pPr>
        <w:widowControl/>
        <w:shd w:val="clear" w:color="auto" w:fill="FFFFFF"/>
        <w:spacing w:beforeLines="50" w:afterLines="50" w:line="360" w:lineRule="auto"/>
        <w:ind w:firstLine="360"/>
        <w:jc w:val="left"/>
        <w:rPr>
          <w:rFonts w:cs="宋体"/>
          <w:color w:val="000000" w:themeColor="text1"/>
          <w:kern w:val="0"/>
          <w:sz w:val="24"/>
        </w:rPr>
      </w:pPr>
      <w:r>
        <w:rPr>
          <w:rFonts w:cs="宋体"/>
          <w:color w:val="000000" w:themeColor="text1"/>
          <w:kern w:val="0"/>
          <w:sz w:val="24"/>
        </w:rPr>
        <w:t>[1] 刘加林.多功能一次性压舌板：中国，92214985.2[P].1993-04-14.</w:t>
      </w:r>
    </w:p>
    <w:p>
      <w:pPr>
        <w:widowControl/>
        <w:shd w:val="clear" w:color="auto" w:fill="FFFFFF"/>
        <w:spacing w:beforeLines="50" w:afterLines="50" w:line="360" w:lineRule="auto"/>
        <w:ind w:firstLine="420"/>
        <w:jc w:val="left"/>
        <w:rPr>
          <w:rFonts w:cs="宋体"/>
          <w:color w:val="000000" w:themeColor="text1"/>
          <w:kern w:val="0"/>
          <w:sz w:val="24"/>
        </w:rPr>
      </w:pPr>
      <w:r>
        <w:rPr>
          <w:rFonts w:cs="宋体"/>
          <w:color w:val="000000" w:themeColor="text1"/>
          <w:kern w:val="0"/>
          <w:sz w:val="24"/>
        </w:rPr>
        <w:t>专著中析出的文献</w:t>
      </w:r>
    </w:p>
    <w:p>
      <w:pPr>
        <w:widowControl/>
        <w:shd w:val="clear" w:color="auto" w:fill="FFFFFF"/>
        <w:spacing w:beforeLines="50" w:afterLines="50" w:line="360" w:lineRule="auto"/>
        <w:ind w:firstLine="360"/>
        <w:jc w:val="left"/>
        <w:rPr>
          <w:rFonts w:cs="宋体"/>
          <w:color w:val="000000" w:themeColor="text1"/>
          <w:kern w:val="0"/>
          <w:sz w:val="24"/>
        </w:rPr>
      </w:pPr>
      <w:r>
        <w:rPr>
          <w:rFonts w:cs="宋体"/>
          <w:color w:val="000000" w:themeColor="text1"/>
          <w:kern w:val="0"/>
          <w:sz w:val="24"/>
        </w:rPr>
        <w:t>[1] 韩吉人.论职工教育的特点[G]//中国职工教育研究会.职工教育研究论文集.北京：人民教育出版社，1985：90-99.</w:t>
      </w:r>
    </w:p>
    <w:p>
      <w:pPr>
        <w:widowControl/>
        <w:shd w:val="clear" w:color="auto" w:fill="FFFFFF"/>
        <w:spacing w:beforeLines="50" w:afterLines="50" w:line="360" w:lineRule="auto"/>
        <w:ind w:firstLine="420"/>
        <w:jc w:val="left"/>
        <w:rPr>
          <w:rFonts w:cs="宋体"/>
          <w:color w:val="000000" w:themeColor="text1"/>
          <w:kern w:val="0"/>
          <w:sz w:val="24"/>
        </w:rPr>
      </w:pPr>
      <w:r>
        <w:rPr>
          <w:rFonts w:cs="宋体"/>
          <w:color w:val="000000" w:themeColor="text1"/>
          <w:kern w:val="0"/>
          <w:sz w:val="24"/>
        </w:rPr>
        <w:t>期刊中析出的文献</w:t>
      </w:r>
    </w:p>
    <w:p>
      <w:pPr>
        <w:widowControl/>
        <w:shd w:val="clear" w:color="auto" w:fill="FFFFFF"/>
        <w:spacing w:beforeLines="50" w:afterLines="50" w:line="360" w:lineRule="auto"/>
        <w:ind w:firstLine="360"/>
        <w:jc w:val="left"/>
        <w:rPr>
          <w:rFonts w:cs="宋体"/>
          <w:color w:val="000000" w:themeColor="text1"/>
          <w:kern w:val="0"/>
          <w:sz w:val="24"/>
        </w:rPr>
      </w:pPr>
      <w:r>
        <w:rPr>
          <w:rFonts w:cs="宋体"/>
          <w:color w:val="000000" w:themeColor="text1"/>
          <w:kern w:val="0"/>
          <w:sz w:val="24"/>
        </w:rPr>
        <w:t>[1] 陶仁骥.密码学与数学[J].自然杂志，1984，7（7）：527.</w:t>
      </w:r>
    </w:p>
    <w:p>
      <w:pPr>
        <w:widowControl/>
        <w:shd w:val="clear" w:color="auto" w:fill="FFFFFF"/>
        <w:spacing w:beforeLines="50" w:afterLines="50" w:line="360" w:lineRule="auto"/>
        <w:ind w:firstLine="360"/>
        <w:jc w:val="left"/>
        <w:rPr>
          <w:rFonts w:cs="宋体"/>
          <w:color w:val="000000" w:themeColor="text1"/>
          <w:kern w:val="0"/>
          <w:sz w:val="24"/>
        </w:rPr>
      </w:pPr>
      <w:r>
        <w:rPr>
          <w:rFonts w:cs="宋体"/>
          <w:color w:val="000000" w:themeColor="text1"/>
          <w:kern w:val="0"/>
          <w:sz w:val="24"/>
        </w:rPr>
        <w:t>[2] 李晓东，张庆红，叶瑾琳.气候学研究的若干理论问题[J].北京大学学报：自然科学版，1999，35（1）：101-106.</w:t>
      </w:r>
    </w:p>
    <w:p>
      <w:pPr>
        <w:widowControl/>
        <w:shd w:val="clear" w:color="auto" w:fill="FFFFFF"/>
        <w:spacing w:beforeLines="50" w:afterLines="50" w:line="360" w:lineRule="auto"/>
        <w:ind w:firstLine="420"/>
        <w:jc w:val="left"/>
        <w:rPr>
          <w:rFonts w:cs="宋体"/>
          <w:color w:val="000000" w:themeColor="text1"/>
          <w:kern w:val="0"/>
          <w:sz w:val="24"/>
        </w:rPr>
      </w:pPr>
      <w:r>
        <w:rPr>
          <w:rFonts w:cs="宋体"/>
          <w:color w:val="000000" w:themeColor="text1"/>
          <w:kern w:val="0"/>
          <w:sz w:val="24"/>
        </w:rPr>
        <w:t>报纸中析出的文献</w:t>
      </w:r>
    </w:p>
    <w:p>
      <w:pPr>
        <w:widowControl/>
        <w:shd w:val="clear" w:color="auto" w:fill="FFFFFF"/>
        <w:spacing w:beforeLines="50" w:afterLines="50" w:line="360" w:lineRule="auto"/>
        <w:ind w:firstLine="360"/>
        <w:jc w:val="left"/>
        <w:rPr>
          <w:rFonts w:cs="宋体"/>
          <w:color w:val="000000" w:themeColor="text1"/>
          <w:kern w:val="0"/>
          <w:sz w:val="24"/>
        </w:rPr>
      </w:pPr>
      <w:r>
        <w:rPr>
          <w:rFonts w:cs="宋体"/>
          <w:color w:val="000000" w:themeColor="text1"/>
          <w:kern w:val="0"/>
          <w:sz w:val="24"/>
        </w:rPr>
        <w:t>[1] 丁文祥.数字革命与竞争国际化[N].中国青年报，2000-11-20（15）.</w:t>
      </w:r>
    </w:p>
    <w:p>
      <w:pPr>
        <w:widowControl/>
        <w:shd w:val="clear" w:color="auto" w:fill="FFFFFF"/>
        <w:spacing w:beforeLines="50" w:afterLines="50" w:line="360" w:lineRule="auto"/>
        <w:ind w:firstLine="420"/>
        <w:jc w:val="left"/>
        <w:rPr>
          <w:rFonts w:cs="宋体"/>
          <w:color w:val="000000" w:themeColor="text1"/>
          <w:kern w:val="0"/>
          <w:sz w:val="24"/>
        </w:rPr>
      </w:pPr>
      <w:r>
        <w:rPr>
          <w:rFonts w:cs="宋体"/>
          <w:color w:val="000000" w:themeColor="text1"/>
          <w:kern w:val="0"/>
          <w:sz w:val="24"/>
        </w:rPr>
        <w:t>电子文献（包括专著或连续出版物中析出的电子文献）</w:t>
      </w:r>
    </w:p>
    <w:p>
      <w:pPr>
        <w:widowControl/>
        <w:shd w:val="clear" w:color="auto" w:fill="FFFFFF"/>
        <w:spacing w:beforeLines="50" w:afterLines="50" w:line="360" w:lineRule="auto"/>
        <w:ind w:firstLine="360"/>
        <w:jc w:val="left"/>
        <w:rPr>
          <w:rFonts w:cs="宋体"/>
          <w:color w:val="000000" w:themeColor="text1"/>
          <w:kern w:val="0"/>
          <w:sz w:val="24"/>
        </w:rPr>
      </w:pPr>
      <w:r>
        <w:rPr>
          <w:rFonts w:cs="宋体"/>
          <w:color w:val="000000" w:themeColor="text1"/>
          <w:kern w:val="0"/>
          <w:sz w:val="24"/>
        </w:rPr>
        <w:t>[1] 江向东.互联网环境下的信息处理与图书管理系统解决方案[J/OL].情报学报，1999，18（2）：4[2000-01-18].http://www.chinainfo.gov.cn/periodical/qbxb/qbxb99/qbxb990203.</w:t>
      </w:r>
    </w:p>
    <w:p>
      <w:pPr>
        <w:widowControl/>
        <w:shd w:val="clear" w:color="auto" w:fill="FFFFFF"/>
        <w:spacing w:beforeLines="50" w:afterLines="50" w:line="360" w:lineRule="auto"/>
        <w:ind w:firstLine="360"/>
        <w:jc w:val="left"/>
        <w:rPr>
          <w:rFonts w:cs="宋体"/>
          <w:color w:val="000000" w:themeColor="text1"/>
          <w:kern w:val="0"/>
          <w:sz w:val="24"/>
        </w:rPr>
      </w:pPr>
      <w:r>
        <w:rPr>
          <w:rFonts w:cs="宋体"/>
          <w:color w:val="000000" w:themeColor="text1"/>
          <w:kern w:val="0"/>
          <w:sz w:val="24"/>
        </w:rPr>
        <w:t>[2] 萧钰.出版业信息化迈入快车道[EB/OL].（2001-12-19）[2002-04-15].http://www.creader.com/news/20011219/200112190019.html.</w:t>
      </w:r>
    </w:p>
    <w:p>
      <w:pPr>
        <w:pStyle w:val="8"/>
        <w:spacing w:beforeLines="50" w:beforeAutospacing="0" w:afterLines="50" w:afterAutospacing="0" w:line="360" w:lineRule="auto"/>
        <w:rPr>
          <w:rFonts w:ascii="Times New Roman" w:hAnsi="Times New Roman"/>
          <w:color w:val="000000" w:themeColor="text1"/>
        </w:rPr>
      </w:pPr>
    </w:p>
    <w:p>
      <w:pPr>
        <w:pStyle w:val="8"/>
        <w:spacing w:beforeLines="50" w:beforeAutospacing="0" w:afterLines="50" w:afterAutospacing="0" w:line="360" w:lineRule="auto"/>
        <w:rPr>
          <w:rFonts w:ascii="Times New Roman" w:hAnsi="Times New Roman"/>
          <w:color w:val="000000" w:themeColor="text1"/>
        </w:rPr>
      </w:pPr>
    </w:p>
    <w:p>
      <w:pPr>
        <w:pStyle w:val="8"/>
        <w:spacing w:beforeLines="50" w:beforeAutospacing="0" w:afterLines="50" w:afterAutospacing="0" w:line="360" w:lineRule="auto"/>
        <w:rPr>
          <w:rFonts w:ascii="Times New Roman" w:hAnsi="Times New Roman"/>
          <w:color w:val="000000" w:themeColor="text1"/>
        </w:rPr>
      </w:pPr>
    </w:p>
    <w:p>
      <w:pPr>
        <w:pStyle w:val="8"/>
        <w:spacing w:beforeLines="50" w:beforeAutospacing="0" w:afterLines="50" w:afterAutospacing="0" w:line="360" w:lineRule="auto"/>
        <w:rPr>
          <w:rFonts w:ascii="Times New Roman" w:hAnsi="Times New Roman"/>
          <w:color w:val="000000" w:themeColor="text1"/>
        </w:rPr>
      </w:pPr>
    </w:p>
    <w:p>
      <w:pPr>
        <w:pStyle w:val="8"/>
        <w:spacing w:beforeLines="50" w:beforeAutospacing="0" w:afterLines="50" w:afterAutospacing="0" w:line="360" w:lineRule="auto"/>
        <w:rPr>
          <w:rFonts w:ascii="Times New Roman" w:hAnsi="Times New Roman"/>
          <w:color w:val="000000" w:themeColor="text1"/>
        </w:rPr>
      </w:pPr>
    </w:p>
    <w:p>
      <w:pPr>
        <w:pStyle w:val="8"/>
        <w:spacing w:beforeLines="50" w:beforeAutospacing="0" w:afterLines="50" w:afterAutospacing="0" w:line="360" w:lineRule="auto"/>
        <w:rPr>
          <w:rFonts w:ascii="Times New Roman" w:hAnsi="Times New Roman"/>
          <w:color w:val="000000" w:themeColor="text1"/>
        </w:rPr>
      </w:pPr>
    </w:p>
    <w:p>
      <w:pPr>
        <w:pStyle w:val="8"/>
        <w:spacing w:beforeLines="50" w:beforeAutospacing="0" w:afterLines="50" w:afterAutospacing="0" w:line="360" w:lineRule="auto"/>
        <w:rPr>
          <w:rFonts w:ascii="Times New Roman" w:hAnsi="Times New Roman"/>
          <w:color w:val="000000" w:themeColor="text1"/>
        </w:rPr>
      </w:pPr>
    </w:p>
    <w:p>
      <w:pPr>
        <w:pStyle w:val="8"/>
        <w:spacing w:beforeLines="50" w:beforeAutospacing="0" w:afterLines="50" w:afterAutospacing="0" w:line="360" w:lineRule="auto"/>
        <w:rPr>
          <w:rFonts w:ascii="Times New Roman" w:hAnsi="Times New Roman"/>
          <w:b/>
          <w:color w:val="000000" w:themeColor="text1"/>
        </w:rPr>
      </w:pPr>
      <w:r>
        <w:rPr>
          <w:rFonts w:hint="eastAsia" w:ascii="Times New Roman" w:hAnsi="Times New Roman"/>
          <w:b/>
          <w:color w:val="000000" w:themeColor="text1"/>
        </w:rPr>
        <w:t>文章排版样例：</w:t>
      </w:r>
    </w:p>
    <w:p>
      <w:pPr>
        <w:pStyle w:val="8"/>
        <w:spacing w:beforeLines="50" w:beforeAutospacing="0" w:afterLines="50" w:afterAutospacing="0" w:line="360" w:lineRule="auto"/>
        <w:rPr>
          <w:rFonts w:ascii="Times New Roman" w:hAnsi="Times New Roman"/>
          <w:b/>
          <w:color w:val="000000" w:themeColor="text1"/>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jc w:val="center"/>
        <w:rPr>
          <w:rFonts w:eastAsia="华文新魏"/>
          <w:color w:val="000000" w:themeColor="text1"/>
          <w:sz w:val="36"/>
          <w:szCs w:val="36"/>
        </w:rPr>
      </w:pPr>
      <w:r>
        <w:rPr>
          <w:rFonts w:hint="eastAsia" w:eastAsia="华文新魏"/>
          <w:color w:val="000000" w:themeColor="text1"/>
          <w:sz w:val="36"/>
          <w:szCs w:val="36"/>
        </w:rPr>
        <w:t>论文题目</w:t>
      </w:r>
    </w:p>
    <w:p>
      <w:pPr>
        <w:jc w:val="center"/>
        <w:rPr>
          <w:rFonts w:eastAsia="仿宋_GB2312"/>
          <w:color w:val="000000" w:themeColor="text1"/>
          <w:sz w:val="18"/>
          <w:szCs w:val="18"/>
        </w:rPr>
      </w:pPr>
      <w:r>
        <w:rPr>
          <w:rFonts w:hint="eastAsia" w:eastAsia="楷体_GB2312"/>
          <w:color w:val="000000" w:themeColor="text1"/>
          <w:sz w:val="24"/>
        </w:rPr>
        <w:t>张三</w:t>
      </w:r>
    </w:p>
    <w:p>
      <w:pPr>
        <w:spacing w:line="360" w:lineRule="exact"/>
        <w:jc w:val="center"/>
        <w:rPr>
          <w:rFonts w:eastAsia="仿宋_GB2312"/>
          <w:color w:val="000000" w:themeColor="text1"/>
          <w:sz w:val="18"/>
          <w:szCs w:val="18"/>
        </w:rPr>
      </w:pPr>
      <w:r>
        <w:rPr>
          <w:rFonts w:hint="eastAsia" w:eastAsia="仿宋_GB2312"/>
          <w:color w:val="000000" w:themeColor="text1"/>
          <w:sz w:val="18"/>
          <w:szCs w:val="18"/>
        </w:rPr>
        <w:t>南京林业大学经济管理学院2017级硕士研究生</w:t>
      </w:r>
    </w:p>
    <w:p>
      <w:pPr>
        <w:autoSpaceDE w:val="0"/>
        <w:autoSpaceDN w:val="0"/>
        <w:adjustRightInd w:val="0"/>
        <w:spacing w:line="360" w:lineRule="exact"/>
        <w:rPr>
          <w:rFonts w:eastAsiaTheme="minorEastAsia"/>
          <w:color w:val="000000" w:themeColor="text1"/>
          <w:szCs w:val="21"/>
        </w:rPr>
      </w:pPr>
      <w:r>
        <w:rPr>
          <w:rFonts w:hint="eastAsia"/>
          <w:b/>
          <w:color w:val="000000" w:themeColor="text1"/>
          <w:szCs w:val="21"/>
        </w:rPr>
        <w:t>摘要：</w:t>
      </w:r>
      <w:bookmarkStart w:id="0" w:name="OLE_LINK30"/>
      <w:r>
        <w:rPr>
          <w:rFonts w:hint="eastAsia" w:eastAsiaTheme="minorEastAsia"/>
          <w:color w:val="000000" w:themeColor="text1"/>
          <w:szCs w:val="21"/>
        </w:rPr>
        <w:t>研究产出不确定的供应链应收账款抵押融资模式下的最优融资额度和运作策略，</w:t>
      </w:r>
      <w:bookmarkEnd w:id="0"/>
      <w:r>
        <w:rPr>
          <w:rFonts w:hint="eastAsia" w:eastAsiaTheme="minorEastAsia"/>
          <w:color w:val="000000" w:themeColor="text1"/>
          <w:szCs w:val="21"/>
        </w:rPr>
        <w:t>并与资金充足情况下供应链的运作决策进行了对比，最后进行了算例分析。研究表明：当产出不确定的风险较大时，应收账款融资模式下供应商的生产积极性高于资金充足的情况，而商业银行的贷款额度决策有利于控制供应商的冒险性，说明研究产出不确定环境下的融资额度决策具有必要性和重要性；随着抵押的应收账款额度的增加，商业银行决策的贷款额度相应增加，而供应商的生产和融资积极性却随之降低。</w:t>
      </w:r>
    </w:p>
    <w:p>
      <w:pPr>
        <w:spacing w:line="360" w:lineRule="exact"/>
        <w:jc w:val="left"/>
        <w:rPr>
          <w:color w:val="000000" w:themeColor="text1"/>
          <w:szCs w:val="21"/>
        </w:rPr>
      </w:pPr>
      <w:r>
        <w:rPr>
          <w:rFonts w:hint="eastAsia"/>
          <w:b/>
          <w:color w:val="000000" w:themeColor="text1"/>
          <w:szCs w:val="21"/>
        </w:rPr>
        <w:t>关键词：</w:t>
      </w:r>
      <w:r>
        <w:rPr>
          <w:rFonts w:hint="eastAsia" w:eastAsiaTheme="majorEastAsia"/>
          <w:color w:val="000000" w:themeColor="text1"/>
          <w:szCs w:val="21"/>
        </w:rPr>
        <w:t>供应链；产出不确定；</w:t>
      </w:r>
      <w:bookmarkStart w:id="1" w:name="OLE_LINK2"/>
      <w:r>
        <w:rPr>
          <w:rFonts w:hint="eastAsia" w:eastAsiaTheme="majorEastAsia"/>
          <w:color w:val="000000" w:themeColor="text1"/>
          <w:szCs w:val="21"/>
        </w:rPr>
        <w:t>应收账款</w:t>
      </w:r>
      <w:bookmarkEnd w:id="1"/>
      <w:r>
        <w:rPr>
          <w:rFonts w:hint="eastAsia" w:eastAsiaTheme="majorEastAsia"/>
          <w:color w:val="000000" w:themeColor="text1"/>
          <w:szCs w:val="21"/>
        </w:rPr>
        <w:t>；供应链金融</w:t>
      </w:r>
    </w:p>
    <w:p>
      <w:pPr>
        <w:jc w:val="center"/>
        <w:rPr>
          <w:color w:val="000000" w:themeColor="text1"/>
          <w:sz w:val="30"/>
          <w:szCs w:val="30"/>
        </w:rPr>
      </w:pPr>
      <w:r>
        <w:rPr>
          <w:rFonts w:hint="eastAsia"/>
          <w:color w:val="000000" w:themeColor="text1"/>
          <w:sz w:val="30"/>
          <w:szCs w:val="30"/>
        </w:rPr>
        <w:t>Title</w:t>
      </w:r>
    </w:p>
    <w:p>
      <w:pPr>
        <w:jc w:val="center"/>
        <w:rPr>
          <w:color w:val="000000" w:themeColor="text1"/>
          <w:sz w:val="24"/>
        </w:rPr>
      </w:pPr>
      <w:r>
        <w:rPr>
          <w:rFonts w:hint="eastAsia"/>
          <w:color w:val="000000" w:themeColor="text1"/>
          <w:sz w:val="24"/>
        </w:rPr>
        <w:t>Zhang San</w:t>
      </w:r>
    </w:p>
    <w:p>
      <w:pPr>
        <w:jc w:val="center"/>
        <w:rPr>
          <w:color w:val="000000" w:themeColor="text1"/>
          <w:sz w:val="18"/>
          <w:szCs w:val="18"/>
        </w:rPr>
      </w:pPr>
      <w:r>
        <w:rPr>
          <w:rFonts w:hint="eastAsia"/>
          <w:color w:val="000000" w:themeColor="text1"/>
          <w:sz w:val="18"/>
          <w:szCs w:val="18"/>
        </w:rPr>
        <w:t>Postgraduate-2017</w:t>
      </w:r>
      <w:r>
        <w:rPr>
          <w:color w:val="000000" w:themeColor="text1"/>
          <w:sz w:val="18"/>
          <w:szCs w:val="18"/>
        </w:rPr>
        <w:t xml:space="preserve">, </w:t>
      </w:r>
      <w:r>
        <w:rPr>
          <w:rFonts w:hint="eastAsia"/>
          <w:color w:val="000000" w:themeColor="text1"/>
          <w:sz w:val="18"/>
          <w:szCs w:val="18"/>
        </w:rPr>
        <w:t>College</w:t>
      </w:r>
      <w:r>
        <w:rPr>
          <w:color w:val="000000" w:themeColor="text1"/>
          <w:sz w:val="18"/>
          <w:szCs w:val="18"/>
        </w:rPr>
        <w:t xml:space="preserve"> of </w:t>
      </w:r>
      <w:r>
        <w:rPr>
          <w:rFonts w:hint="eastAsia"/>
          <w:color w:val="000000" w:themeColor="text1"/>
          <w:sz w:val="18"/>
          <w:szCs w:val="18"/>
        </w:rPr>
        <w:t xml:space="preserve">Economics and </w:t>
      </w:r>
      <w:r>
        <w:rPr>
          <w:color w:val="000000" w:themeColor="text1"/>
          <w:sz w:val="18"/>
          <w:szCs w:val="18"/>
        </w:rPr>
        <w:t xml:space="preserve">Management, </w:t>
      </w:r>
      <w:r>
        <w:rPr>
          <w:rFonts w:hint="eastAsia"/>
          <w:color w:val="000000" w:themeColor="text1"/>
          <w:sz w:val="18"/>
          <w:szCs w:val="18"/>
        </w:rPr>
        <w:t>Nanjing Forestry University</w:t>
      </w:r>
    </w:p>
    <w:p>
      <w:pPr>
        <w:spacing w:line="360" w:lineRule="exact"/>
        <w:rPr>
          <w:color w:val="000000" w:themeColor="text1"/>
          <w:szCs w:val="21"/>
        </w:rPr>
      </w:pPr>
      <w:r>
        <w:rPr>
          <w:b/>
          <w:color w:val="000000" w:themeColor="text1"/>
          <w:szCs w:val="21"/>
        </w:rPr>
        <w:t>Abst</w:t>
      </w:r>
      <w:r>
        <w:rPr>
          <w:rFonts w:hint="eastAsia"/>
          <w:b/>
          <w:color w:val="000000" w:themeColor="text1"/>
          <w:szCs w:val="21"/>
        </w:rPr>
        <w:t>r</w:t>
      </w:r>
      <w:r>
        <w:rPr>
          <w:b/>
          <w:color w:val="000000" w:themeColor="text1"/>
          <w:szCs w:val="21"/>
        </w:rPr>
        <w:t>act:</w:t>
      </w:r>
      <w:r>
        <w:rPr>
          <w:color w:val="000000" w:themeColor="text1"/>
          <w:szCs w:val="21"/>
        </w:rPr>
        <w:t xml:space="preserve"> </w:t>
      </w:r>
      <w:r>
        <w:rPr>
          <w:color w:val="000000" w:themeColor="text1"/>
          <w:kern w:val="0"/>
          <w:szCs w:val="21"/>
        </w:rPr>
        <w:t>In this paper, we stud</w:t>
      </w:r>
      <w:r>
        <w:rPr>
          <w:rFonts w:hint="eastAsia"/>
          <w:color w:val="000000" w:themeColor="text1"/>
          <w:kern w:val="0"/>
          <w:szCs w:val="21"/>
        </w:rPr>
        <w:t>ied</w:t>
      </w:r>
      <w:r>
        <w:rPr>
          <w:color w:val="000000" w:themeColor="text1"/>
          <w:kern w:val="0"/>
          <w:szCs w:val="21"/>
        </w:rPr>
        <w:t xml:space="preserve"> </w:t>
      </w:r>
      <w:r>
        <w:rPr>
          <w:rFonts w:hint="eastAsia"/>
          <w:color w:val="000000" w:themeColor="text1"/>
          <w:kern w:val="0"/>
          <w:szCs w:val="21"/>
        </w:rPr>
        <w:t>the optimal financing and operation strategy with account receivables of supply chain with uncertain in yields. And w</w:t>
      </w:r>
      <w:r>
        <w:rPr>
          <w:color w:val="000000" w:themeColor="text1"/>
          <w:kern w:val="0"/>
          <w:szCs w:val="21"/>
        </w:rPr>
        <w:t xml:space="preserve">e </w:t>
      </w:r>
      <w:r>
        <w:rPr>
          <w:rFonts w:hint="eastAsia"/>
          <w:color w:val="000000" w:themeColor="text1"/>
          <w:kern w:val="0"/>
          <w:szCs w:val="21"/>
        </w:rPr>
        <w:t>studied</w:t>
      </w:r>
      <w:r>
        <w:rPr>
          <w:color w:val="000000" w:themeColor="text1"/>
          <w:kern w:val="0"/>
          <w:szCs w:val="21"/>
        </w:rPr>
        <w:t xml:space="preserve"> the results and the decision</w:t>
      </w:r>
      <w:r>
        <w:rPr>
          <w:rFonts w:hint="eastAsia"/>
          <w:color w:val="000000" w:themeColor="text1"/>
          <w:kern w:val="0"/>
          <w:szCs w:val="21"/>
        </w:rPr>
        <w:t xml:space="preserve"> making </w:t>
      </w:r>
      <w:r>
        <w:rPr>
          <w:color w:val="000000" w:themeColor="text1"/>
          <w:kern w:val="0"/>
          <w:szCs w:val="21"/>
        </w:rPr>
        <w:t>of supply chain</w:t>
      </w:r>
      <w:r>
        <w:rPr>
          <w:rFonts w:hint="eastAsia"/>
          <w:color w:val="000000" w:themeColor="text1"/>
          <w:kern w:val="0"/>
          <w:szCs w:val="21"/>
        </w:rPr>
        <w:t xml:space="preserve"> with no</w:t>
      </w:r>
      <w:r>
        <w:rPr>
          <w:color w:val="000000" w:themeColor="text1"/>
          <w:kern w:val="0"/>
          <w:szCs w:val="21"/>
        </w:rPr>
        <w:t xml:space="preserve"> capital constraint. Finally, we carried on </w:t>
      </w:r>
      <w:r>
        <w:rPr>
          <w:rFonts w:hint="eastAsia"/>
          <w:color w:val="000000" w:themeColor="text1"/>
          <w:kern w:val="0"/>
          <w:szCs w:val="21"/>
        </w:rPr>
        <w:t>an</w:t>
      </w:r>
      <w:r>
        <w:rPr>
          <w:color w:val="000000" w:themeColor="text1"/>
          <w:kern w:val="0"/>
          <w:szCs w:val="21"/>
        </w:rPr>
        <w:t xml:space="preserve"> empirical analysis. T</w:t>
      </w:r>
      <w:r>
        <w:rPr>
          <w:rFonts w:hint="eastAsia"/>
          <w:color w:val="000000" w:themeColor="text1"/>
          <w:kern w:val="0"/>
          <w:szCs w:val="21"/>
        </w:rPr>
        <w:t>he result</w:t>
      </w:r>
      <w:r>
        <w:rPr>
          <w:color w:val="000000" w:themeColor="text1"/>
          <w:kern w:val="0"/>
          <w:szCs w:val="21"/>
        </w:rPr>
        <w:t xml:space="preserve"> show</w:t>
      </w:r>
      <w:r>
        <w:rPr>
          <w:rFonts w:hint="eastAsia"/>
          <w:color w:val="000000" w:themeColor="text1"/>
          <w:kern w:val="0"/>
          <w:szCs w:val="21"/>
        </w:rPr>
        <w:t>ed</w:t>
      </w:r>
      <w:r>
        <w:rPr>
          <w:color w:val="000000" w:themeColor="text1"/>
          <w:kern w:val="0"/>
          <w:szCs w:val="21"/>
        </w:rPr>
        <w:t xml:space="preserve"> that when the </w:t>
      </w:r>
      <w:r>
        <w:rPr>
          <w:rFonts w:hint="eastAsia"/>
          <w:color w:val="000000" w:themeColor="text1"/>
          <w:kern w:val="0"/>
          <w:szCs w:val="21"/>
        </w:rPr>
        <w:t>risk of yields is high</w:t>
      </w:r>
      <w:r>
        <w:rPr>
          <w:color w:val="000000" w:themeColor="text1"/>
          <w:kern w:val="0"/>
          <w:szCs w:val="21"/>
        </w:rPr>
        <w:t xml:space="preserve">, the supplier's production enthusiasm is higher </w:t>
      </w:r>
      <w:r>
        <w:rPr>
          <w:rFonts w:hint="eastAsia"/>
          <w:color w:val="000000" w:themeColor="text1"/>
          <w:kern w:val="0"/>
          <w:szCs w:val="21"/>
        </w:rPr>
        <w:t xml:space="preserve">with </w:t>
      </w:r>
      <w:r>
        <w:rPr>
          <w:color w:val="000000" w:themeColor="text1"/>
          <w:kern w:val="0"/>
          <w:szCs w:val="21"/>
        </w:rPr>
        <w:t>accounts receivable financing than without capital constraint</w:t>
      </w:r>
      <w:r>
        <w:rPr>
          <w:rFonts w:hint="eastAsia"/>
          <w:color w:val="000000" w:themeColor="text1"/>
          <w:kern w:val="0"/>
          <w:szCs w:val="21"/>
        </w:rPr>
        <w:t>;</w:t>
      </w:r>
      <w:r>
        <w:rPr>
          <w:color w:val="000000" w:themeColor="text1"/>
          <w:kern w:val="0"/>
          <w:szCs w:val="21"/>
        </w:rPr>
        <w:t xml:space="preserve"> while </w:t>
      </w:r>
      <w:r>
        <w:rPr>
          <w:rFonts w:hint="eastAsia"/>
          <w:color w:val="000000" w:themeColor="text1"/>
          <w:kern w:val="0"/>
          <w:szCs w:val="21"/>
        </w:rPr>
        <w:t>b</w:t>
      </w:r>
      <w:r>
        <w:rPr>
          <w:color w:val="000000" w:themeColor="text1"/>
          <w:kern w:val="0"/>
          <w:szCs w:val="21"/>
        </w:rPr>
        <w:t>anks decision-making of the loan amount is low</w:t>
      </w:r>
      <w:r>
        <w:rPr>
          <w:rFonts w:hint="eastAsia"/>
          <w:color w:val="000000" w:themeColor="text1"/>
          <w:kern w:val="0"/>
          <w:szCs w:val="21"/>
        </w:rPr>
        <w:t>er；</w:t>
      </w:r>
      <w:r>
        <w:rPr>
          <w:color w:val="000000" w:themeColor="text1"/>
          <w:kern w:val="0"/>
          <w:szCs w:val="21"/>
        </w:rPr>
        <w:t xml:space="preserve">This shows that the research of uncertain </w:t>
      </w:r>
      <w:r>
        <w:rPr>
          <w:rFonts w:hint="eastAsia"/>
          <w:color w:val="000000" w:themeColor="text1"/>
          <w:kern w:val="0"/>
          <w:szCs w:val="21"/>
        </w:rPr>
        <w:t>yields</w:t>
      </w:r>
      <w:r>
        <w:rPr>
          <w:color w:val="000000" w:themeColor="text1"/>
          <w:kern w:val="0"/>
          <w:szCs w:val="21"/>
        </w:rPr>
        <w:t xml:space="preserve"> and financing credit decision has a certain theoretical and practical significance; The supplier's production enthusiasm decrease</w:t>
      </w:r>
      <w:r>
        <w:rPr>
          <w:rFonts w:hint="eastAsia"/>
          <w:color w:val="000000" w:themeColor="text1"/>
          <w:kern w:val="0"/>
          <w:szCs w:val="21"/>
        </w:rPr>
        <w:t>s</w:t>
      </w:r>
      <w:r>
        <w:rPr>
          <w:color w:val="000000" w:themeColor="text1"/>
          <w:kern w:val="0"/>
          <w:szCs w:val="21"/>
        </w:rPr>
        <w:t xml:space="preserve"> with the increase of amount of accounts receivable mortgage</w:t>
      </w:r>
      <w:r>
        <w:rPr>
          <w:rFonts w:hint="eastAsia"/>
          <w:color w:val="000000" w:themeColor="text1"/>
          <w:kern w:val="0"/>
          <w:szCs w:val="21"/>
        </w:rPr>
        <w:t>;</w:t>
      </w:r>
      <w:r>
        <w:rPr>
          <w:color w:val="000000" w:themeColor="text1"/>
          <w:kern w:val="0"/>
          <w:szCs w:val="21"/>
        </w:rPr>
        <w:t xml:space="preserve"> The higher the amount of account receivable mortgage, the higher the amount of loans the commercial </w:t>
      </w:r>
      <w:r>
        <w:rPr>
          <w:rFonts w:hint="eastAsia"/>
          <w:color w:val="000000" w:themeColor="text1"/>
          <w:kern w:val="0"/>
          <w:szCs w:val="21"/>
        </w:rPr>
        <w:t>b</w:t>
      </w:r>
      <w:r>
        <w:rPr>
          <w:color w:val="000000" w:themeColor="text1"/>
          <w:kern w:val="0"/>
          <w:szCs w:val="21"/>
        </w:rPr>
        <w:t>anks to provide.</w:t>
      </w:r>
    </w:p>
    <w:p>
      <w:pPr>
        <w:spacing w:line="360" w:lineRule="exact"/>
        <w:rPr>
          <w:color w:val="000000" w:themeColor="text1"/>
          <w:szCs w:val="21"/>
        </w:rPr>
      </w:pPr>
      <w:r>
        <w:rPr>
          <w:b/>
          <w:color w:val="000000" w:themeColor="text1"/>
          <w:szCs w:val="21"/>
        </w:rPr>
        <w:t xml:space="preserve">Key </w:t>
      </w:r>
      <w:r>
        <w:rPr>
          <w:rFonts w:hint="eastAsia"/>
          <w:b/>
          <w:color w:val="000000" w:themeColor="text1"/>
          <w:szCs w:val="21"/>
        </w:rPr>
        <w:t>W</w:t>
      </w:r>
      <w:r>
        <w:rPr>
          <w:b/>
          <w:color w:val="000000" w:themeColor="text1"/>
          <w:szCs w:val="21"/>
        </w:rPr>
        <w:t>ord</w:t>
      </w:r>
      <w:r>
        <w:rPr>
          <w:rFonts w:hint="eastAsia"/>
          <w:b/>
          <w:color w:val="000000" w:themeColor="text1"/>
          <w:szCs w:val="21"/>
        </w:rPr>
        <w:t>s</w:t>
      </w:r>
      <w:r>
        <w:rPr>
          <w:b/>
          <w:color w:val="000000" w:themeColor="text1"/>
          <w:szCs w:val="21"/>
        </w:rPr>
        <w:t>:</w:t>
      </w:r>
      <w:r>
        <w:rPr>
          <w:color w:val="000000" w:themeColor="text1"/>
          <w:szCs w:val="21"/>
        </w:rPr>
        <w:t xml:space="preserve"> </w:t>
      </w:r>
      <w:r>
        <w:rPr>
          <w:rFonts w:eastAsia="黑体"/>
          <w:color w:val="000000" w:themeColor="text1"/>
          <w:szCs w:val="21"/>
        </w:rPr>
        <w:t xml:space="preserve">Supply chain; </w:t>
      </w:r>
      <w:r>
        <w:rPr>
          <w:rFonts w:hint="eastAsia" w:eastAsia="黑体"/>
          <w:color w:val="000000" w:themeColor="text1"/>
          <w:szCs w:val="21"/>
        </w:rPr>
        <w:t>Uncertainty in yields</w:t>
      </w:r>
      <w:r>
        <w:rPr>
          <w:rFonts w:eastAsia="黑体"/>
          <w:color w:val="000000" w:themeColor="text1"/>
          <w:szCs w:val="21"/>
        </w:rPr>
        <w:t>; Account receivable; Supply chain finance</w:t>
      </w:r>
    </w:p>
    <w:p>
      <w:pPr>
        <w:spacing w:line="360" w:lineRule="exact"/>
        <w:rPr>
          <w:rFonts w:eastAsia="黑体"/>
          <w:color w:val="000000" w:themeColor="text1"/>
          <w:sz w:val="24"/>
        </w:rPr>
      </w:pPr>
      <w:r>
        <w:rPr>
          <w:rFonts w:hint="eastAsia" w:eastAsia="黑体"/>
          <w:color w:val="000000" w:themeColor="text1"/>
          <w:sz w:val="24"/>
        </w:rPr>
        <w:t>1 引言</w:t>
      </w:r>
    </w:p>
    <w:p>
      <w:pPr>
        <w:autoSpaceDE w:val="0"/>
        <w:autoSpaceDN w:val="0"/>
        <w:adjustRightInd w:val="0"/>
        <w:spacing w:line="360" w:lineRule="atLeast"/>
        <w:ind w:firstLine="420" w:firstLineChars="200"/>
        <w:jc w:val="left"/>
        <w:rPr>
          <w:rFonts w:eastAsiaTheme="majorEastAsia"/>
          <w:color w:val="000000" w:themeColor="text1"/>
          <w:szCs w:val="21"/>
        </w:rPr>
      </w:pPr>
      <w:r>
        <w:rPr>
          <w:rFonts w:hint="eastAsia" w:cs="黑体" w:eastAsiaTheme="majorEastAsia"/>
          <w:color w:val="000000" w:themeColor="text1"/>
          <w:kern w:val="0"/>
          <w:szCs w:val="21"/>
        </w:rPr>
        <w:t>中小企业在国民经济中发挥越来越重要的作用，但中小企业具有不确定性和不稳定性，不仅需要承受市场不确定性风险，而且还要承受由于技术条件和自然环境导致的生产领域的不确定性风险，使得中小企业信贷融资难问题严重，严重制约了中小企业的发展。最近几年涌现出一些关于资金约束下的供应链金融管理的研究，试图</w:t>
      </w:r>
      <w:r>
        <w:rPr>
          <w:rFonts w:hint="eastAsia" w:eastAsiaTheme="majorEastAsia"/>
          <w:color w:val="000000" w:themeColor="text1"/>
          <w:szCs w:val="21"/>
        </w:rPr>
        <w:t>为中小企业融资理念和技术瓶颈提供解决方案。</w:t>
      </w:r>
    </w:p>
    <w:p>
      <w:pPr>
        <w:spacing w:line="360" w:lineRule="atLeast"/>
        <w:ind w:firstLine="420" w:firstLineChars="200"/>
        <w:rPr>
          <w:rFonts w:cs="黑体" w:eastAsiaTheme="majorEastAsia"/>
          <w:color w:val="000000" w:themeColor="text1"/>
          <w:kern w:val="0"/>
          <w:szCs w:val="21"/>
        </w:rPr>
      </w:pPr>
      <w:r>
        <w:rPr>
          <w:rFonts w:hint="eastAsia" w:cs="黑体" w:eastAsiaTheme="majorEastAsia"/>
          <w:color w:val="000000" w:themeColor="text1"/>
          <w:kern w:val="0"/>
          <w:szCs w:val="21"/>
        </w:rPr>
        <w:t>对于供应链中的企业融资问题，现有的文献主要分内部融资和外部融资两类。</w:t>
      </w:r>
      <w:r>
        <w:rPr>
          <w:rFonts w:hint="eastAsia" w:eastAsiaTheme="majorEastAsia"/>
          <w:color w:val="000000" w:themeColor="text1"/>
          <w:kern w:val="0"/>
          <w:szCs w:val="21"/>
        </w:rPr>
        <w:t>内部融资模式，大多研究供应商给予资金缺乏的买方延期付款的商业信用模式，主要包括确定最优信用期限决策</w:t>
      </w:r>
      <w:r>
        <w:rPr>
          <w:rFonts w:hint="eastAsia" w:eastAsiaTheme="majorEastAsia"/>
          <w:color w:val="000000" w:themeColor="text1"/>
          <w:kern w:val="0"/>
          <w:szCs w:val="21"/>
          <w:vertAlign w:val="superscript"/>
        </w:rPr>
        <w:t>[1-2]</w:t>
      </w:r>
      <w:r>
        <w:rPr>
          <w:rFonts w:hint="eastAsia" w:eastAsiaTheme="majorEastAsia"/>
          <w:color w:val="000000" w:themeColor="text1"/>
          <w:kern w:val="0"/>
          <w:szCs w:val="21"/>
        </w:rPr>
        <w:t>、最优订货批量</w:t>
      </w:r>
      <w:r>
        <w:rPr>
          <w:rFonts w:hint="eastAsia" w:eastAsiaTheme="majorEastAsia"/>
          <w:color w:val="000000" w:themeColor="text1"/>
          <w:kern w:val="0"/>
          <w:szCs w:val="21"/>
          <w:vertAlign w:val="superscript"/>
        </w:rPr>
        <w:t>[3-5]</w:t>
      </w:r>
      <w:r>
        <w:rPr>
          <w:rFonts w:hint="eastAsia" w:eastAsiaTheme="majorEastAsia"/>
          <w:color w:val="000000" w:themeColor="text1"/>
          <w:kern w:val="0"/>
          <w:szCs w:val="21"/>
        </w:rPr>
        <w:t>、最优生产批量</w:t>
      </w:r>
      <w:r>
        <w:rPr>
          <w:rFonts w:hint="eastAsia" w:eastAsiaTheme="majorEastAsia"/>
          <w:color w:val="000000" w:themeColor="text1"/>
          <w:kern w:val="0"/>
          <w:szCs w:val="21"/>
          <w:vertAlign w:val="superscript"/>
        </w:rPr>
        <w:t>[6-8]</w:t>
      </w:r>
      <w:r>
        <w:rPr>
          <w:rFonts w:hint="eastAsia" w:eastAsiaTheme="majorEastAsia"/>
          <w:color w:val="000000" w:themeColor="text1"/>
          <w:kern w:val="0"/>
          <w:szCs w:val="21"/>
        </w:rPr>
        <w:t>等，部分文献研究了下游企业预付货款货款对供应链运营决策的影响</w:t>
      </w:r>
      <w:r>
        <w:rPr>
          <w:rFonts w:hint="eastAsia" w:eastAsiaTheme="majorEastAsia"/>
          <w:color w:val="000000" w:themeColor="text1"/>
          <w:kern w:val="0"/>
          <w:szCs w:val="21"/>
          <w:vertAlign w:val="superscript"/>
        </w:rPr>
        <w:t>[9-10]</w:t>
      </w:r>
      <w:r>
        <w:rPr>
          <w:rFonts w:hint="eastAsia" w:eastAsiaTheme="majorEastAsia"/>
          <w:color w:val="000000" w:themeColor="text1"/>
          <w:kern w:val="0"/>
          <w:szCs w:val="21"/>
        </w:rPr>
        <w:t>。</w:t>
      </w:r>
      <w:r>
        <w:rPr>
          <w:rFonts w:hint="eastAsia" w:cs="黑体" w:eastAsiaTheme="majorEastAsia"/>
          <w:color w:val="000000" w:themeColor="text1"/>
          <w:kern w:val="0"/>
          <w:szCs w:val="21"/>
        </w:rPr>
        <w:t>外部融资是指由供应链企业以外的机构提供的融资服务，这方面的研究近年来刚刚起步。</w:t>
      </w:r>
      <w:r>
        <w:rPr>
          <w:rFonts w:cs="黑体" w:eastAsiaTheme="majorEastAsia"/>
          <w:color w:val="000000" w:themeColor="text1"/>
          <w:kern w:val="0"/>
          <w:szCs w:val="21"/>
        </w:rPr>
        <w:t>Buzacott</w:t>
      </w:r>
      <w:r>
        <w:rPr>
          <w:rFonts w:hint="eastAsia" w:cs="黑体" w:eastAsiaTheme="majorEastAsia"/>
          <w:color w:val="000000" w:themeColor="text1"/>
          <w:kern w:val="0"/>
          <w:szCs w:val="21"/>
        </w:rPr>
        <w:t>等</w:t>
      </w:r>
      <w:r>
        <w:rPr>
          <w:rFonts w:hint="eastAsia" w:cs="黑体" w:eastAsiaTheme="majorEastAsia"/>
          <w:color w:val="000000" w:themeColor="text1"/>
          <w:kern w:val="0"/>
          <w:szCs w:val="21"/>
          <w:vertAlign w:val="superscript"/>
        </w:rPr>
        <w:t>[11]</w:t>
      </w:r>
      <w:r>
        <w:rPr>
          <w:rFonts w:hint="eastAsia" w:cs="黑体" w:eastAsiaTheme="majorEastAsia"/>
          <w:color w:val="000000" w:themeColor="text1"/>
          <w:kern w:val="0"/>
          <w:szCs w:val="21"/>
        </w:rPr>
        <w:t>首次将融资引入生产决策中，并证明了将生产和融资决策综合考虑对创业型企业的重要性；</w:t>
      </w:r>
      <w:r>
        <w:rPr>
          <w:rFonts w:cs="黑体" w:eastAsiaTheme="majorEastAsia"/>
          <w:color w:val="000000" w:themeColor="text1"/>
          <w:kern w:val="0"/>
          <w:szCs w:val="21"/>
        </w:rPr>
        <w:t>L</w:t>
      </w:r>
      <w:r>
        <w:rPr>
          <w:rFonts w:hint="eastAsia" w:cs="黑体" w:eastAsiaTheme="majorEastAsia"/>
          <w:color w:val="000000" w:themeColor="text1"/>
          <w:kern w:val="0"/>
          <w:szCs w:val="21"/>
        </w:rPr>
        <w:t>ai等</w:t>
      </w:r>
      <w:r>
        <w:rPr>
          <w:rFonts w:hint="eastAsia" w:cs="黑体" w:eastAsiaTheme="majorEastAsia"/>
          <w:color w:val="000000" w:themeColor="text1"/>
          <w:kern w:val="0"/>
          <w:szCs w:val="21"/>
          <w:vertAlign w:val="superscript"/>
        </w:rPr>
        <w:t>[12-14]</w:t>
      </w:r>
      <w:r>
        <w:rPr>
          <w:rFonts w:hint="eastAsia" w:cs="黑体" w:eastAsiaTheme="majorEastAsia"/>
          <w:color w:val="000000" w:themeColor="text1"/>
          <w:kern w:val="0"/>
          <w:szCs w:val="21"/>
        </w:rPr>
        <w:t>研究了当供应商和零售商都存在资金约束的情况下供应链外部融资和生产订购策略；</w:t>
      </w:r>
      <w:r>
        <w:rPr>
          <w:rFonts w:cs="黑体" w:eastAsiaTheme="majorEastAsia"/>
          <w:color w:val="000000" w:themeColor="text1"/>
          <w:kern w:val="0"/>
          <w:szCs w:val="21"/>
        </w:rPr>
        <w:t>Fabbri</w:t>
      </w:r>
      <w:r>
        <w:rPr>
          <w:rFonts w:hint="eastAsia" w:cs="黑体" w:eastAsiaTheme="majorEastAsia"/>
          <w:color w:val="000000" w:themeColor="text1"/>
          <w:kern w:val="0"/>
          <w:szCs w:val="21"/>
        </w:rPr>
        <w:t>等</w:t>
      </w:r>
      <w:r>
        <w:rPr>
          <w:rFonts w:hint="eastAsia" w:cs="黑体" w:eastAsiaTheme="majorEastAsia"/>
          <w:color w:val="000000" w:themeColor="text1"/>
          <w:kern w:val="0"/>
          <w:szCs w:val="21"/>
          <w:vertAlign w:val="superscript"/>
        </w:rPr>
        <w:t>[15-16]</w:t>
      </w:r>
      <w:r>
        <w:rPr>
          <w:rFonts w:hint="eastAsia" w:cs="黑体" w:eastAsiaTheme="majorEastAsia"/>
          <w:color w:val="000000" w:themeColor="text1"/>
          <w:kern w:val="0"/>
          <w:szCs w:val="21"/>
        </w:rPr>
        <w:t>基于经典的报童模型分析了具有资金约束且给定融资利率条件下的融资库存管理策略。国内学者从不同角度</w:t>
      </w:r>
      <w:r>
        <w:rPr>
          <w:rFonts w:hint="eastAsia" w:eastAsiaTheme="majorEastAsia"/>
          <w:color w:val="000000" w:themeColor="text1"/>
          <w:kern w:val="0"/>
          <w:szCs w:val="21"/>
        </w:rPr>
        <w:t>研究了资金约束的供应链的最优融资和生产、订货决策</w:t>
      </w:r>
      <w:r>
        <w:rPr>
          <w:rFonts w:hint="eastAsia" w:cs="黑体" w:eastAsiaTheme="majorEastAsia"/>
          <w:color w:val="000000" w:themeColor="text1"/>
          <w:kern w:val="0"/>
          <w:szCs w:val="21"/>
          <w:vertAlign w:val="superscript"/>
        </w:rPr>
        <w:t>[17-22]</w:t>
      </w:r>
      <w:r>
        <w:rPr>
          <w:rFonts w:hint="eastAsia" w:eastAsiaTheme="majorEastAsia"/>
          <w:color w:val="000000" w:themeColor="text1"/>
          <w:kern w:val="0"/>
          <w:szCs w:val="21"/>
        </w:rPr>
        <w:t>。但文献大多考虑商业银行的贷款利率的决策，对贷款额度决策问题缺少研究，实际上，</w:t>
      </w:r>
      <w:r>
        <w:rPr>
          <w:rFonts w:hint="eastAsia" w:eastAsiaTheme="majorEastAsia"/>
          <w:color w:val="000000" w:themeColor="text1"/>
          <w:szCs w:val="21"/>
        </w:rPr>
        <w:t>商业银行的贷款利率一般是稳定的，商业银行一般通过决策贷款额度控制中小企业融资的风险。</w:t>
      </w:r>
      <w:r>
        <w:rPr>
          <w:rFonts w:hint="eastAsia" w:cs="黑体" w:eastAsiaTheme="majorEastAsia"/>
          <w:color w:val="000000" w:themeColor="text1"/>
          <w:kern w:val="0"/>
          <w:szCs w:val="21"/>
        </w:rPr>
        <w:t>晏妮娜等</w:t>
      </w:r>
      <w:r>
        <w:rPr>
          <w:rFonts w:hint="eastAsia" w:cs="黑体" w:eastAsiaTheme="majorEastAsia"/>
          <w:color w:val="000000" w:themeColor="text1"/>
          <w:kern w:val="0"/>
          <w:szCs w:val="21"/>
          <w:vertAlign w:val="superscript"/>
        </w:rPr>
        <w:t>[23-24]</w:t>
      </w:r>
      <w:r>
        <w:rPr>
          <w:rFonts w:hint="eastAsia" w:cs="黑体" w:eastAsiaTheme="majorEastAsia"/>
          <w:color w:val="000000" w:themeColor="text1"/>
          <w:kern w:val="0"/>
          <w:szCs w:val="21"/>
        </w:rPr>
        <w:t>分析了信用额度限制下供应链和商业银行的融资决策，但信用额度假设为定值，并非决策变量。</w:t>
      </w:r>
    </w:p>
    <w:p>
      <w:pPr>
        <w:spacing w:line="360" w:lineRule="atLeast"/>
        <w:ind w:firstLine="420" w:firstLineChars="200"/>
        <w:rPr>
          <w:color w:val="000000" w:themeColor="text1"/>
          <w:szCs w:val="21"/>
        </w:rPr>
      </w:pPr>
      <w:r>
        <w:rPr>
          <w:rFonts w:cs="黑体" w:eastAsiaTheme="majorEastAsia"/>
          <w:color w:val="000000" w:themeColor="text1"/>
          <w:kern w:val="0"/>
          <w:szCs w:val="21"/>
        </w:rPr>
        <w:t>……</w:t>
      </w:r>
    </w:p>
    <w:p>
      <w:pPr>
        <w:spacing w:line="360" w:lineRule="exact"/>
        <w:rPr>
          <w:rFonts w:eastAsia="黑体"/>
          <w:color w:val="000000" w:themeColor="text1"/>
          <w:sz w:val="24"/>
        </w:rPr>
      </w:pPr>
      <w:r>
        <w:rPr>
          <w:rFonts w:hint="eastAsia" w:eastAsia="黑体"/>
          <w:color w:val="000000" w:themeColor="text1"/>
          <w:sz w:val="24"/>
        </w:rPr>
        <w:t>2问题描述与基本假设</w:t>
      </w:r>
    </w:p>
    <w:p>
      <w:pPr>
        <w:spacing w:line="360" w:lineRule="exact"/>
        <w:ind w:firstLine="420" w:firstLineChars="200"/>
        <w:rPr>
          <w:color w:val="000000" w:themeColor="text1"/>
          <w:szCs w:val="21"/>
        </w:rPr>
      </w:pPr>
      <w:r>
        <w:rPr>
          <w:rFonts w:hint="eastAsia"/>
          <w:color w:val="000000" w:themeColor="text1"/>
          <w:szCs w:val="21"/>
        </w:rPr>
        <w:t>供应链金融系统由一个供应商、一个分销商和一个商业银行组成。供应商生产的产品边际成本为</w:t>
      </w:r>
      <w:r>
        <w:rPr>
          <w:color w:val="000000" w:themeColor="text1"/>
          <w:position w:val="-6"/>
          <w:szCs w:val="21"/>
        </w:rPr>
        <w:object>
          <v:shape id="_x0000_i1025" o:spt="75" type="#_x0000_t75" style="height:11.25pt;width:9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rFonts w:hint="eastAsia"/>
          <w:color w:val="000000" w:themeColor="text1"/>
          <w:szCs w:val="21"/>
        </w:rPr>
        <w:t>，产品零售价格为</w:t>
      </w:r>
      <w:r>
        <w:rPr>
          <w:color w:val="000000" w:themeColor="text1"/>
          <w:position w:val="-10"/>
          <w:szCs w:val="21"/>
        </w:rPr>
        <w:object>
          <v:shape id="_x0000_i1026" o:spt="75" type="#_x0000_t75" style="height:10.5pt;width:9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hint="eastAsia"/>
          <w:color w:val="000000" w:themeColor="text1"/>
          <w:szCs w:val="21"/>
        </w:rPr>
        <w:t>，批发价格为</w:t>
      </w:r>
      <w:r>
        <w:rPr>
          <w:color w:val="000000" w:themeColor="text1"/>
          <w:position w:val="-6"/>
          <w:szCs w:val="21"/>
        </w:rPr>
        <w:object>
          <v:shape id="_x0000_i1027" o:spt="75" type="#_x0000_t75" style="height:8.25pt;width:9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rFonts w:hint="eastAsia"/>
          <w:color w:val="000000" w:themeColor="text1"/>
          <w:szCs w:val="21"/>
        </w:rPr>
        <w:t>，</w:t>
      </w:r>
      <w:r>
        <w:rPr>
          <w:color w:val="000000" w:themeColor="text1"/>
          <w:position w:val="-10"/>
          <w:szCs w:val="21"/>
        </w:rPr>
        <w:object>
          <v:shape id="_x0000_i1028" o:spt="75" type="#_x0000_t75" style="height:10.5pt;width:38.2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r>
        <w:rPr>
          <w:rFonts w:hint="eastAsia"/>
          <w:color w:val="000000" w:themeColor="text1"/>
          <w:szCs w:val="21"/>
        </w:rPr>
        <w:t>. 市场需求量</w:t>
      </w:r>
      <w:r>
        <w:rPr>
          <w:color w:val="000000" w:themeColor="text1"/>
          <w:position w:val="-4"/>
          <w:szCs w:val="21"/>
        </w:rPr>
        <w:object>
          <v:shape id="_x0000_i1029" o:spt="75" type="#_x0000_t75" style="height:10.5pt;width:11.2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hint="eastAsia"/>
          <w:color w:val="000000" w:themeColor="text1"/>
          <w:szCs w:val="21"/>
        </w:rPr>
        <w:t>为</w:t>
      </w:r>
      <w:r>
        <w:rPr>
          <w:color w:val="000000" w:themeColor="text1"/>
          <w:position w:val="-12"/>
          <w:szCs w:val="21"/>
        </w:rPr>
        <w:object>
          <v:shape id="_x0000_i1030" o:spt="75" type="#_x0000_t75" style="height:15pt;width:29.25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r>
        <w:rPr>
          <w:rFonts w:hint="eastAsia"/>
          <w:color w:val="000000" w:themeColor="text1"/>
          <w:szCs w:val="21"/>
        </w:rPr>
        <w:t>区间的随机变量，其概率密度函数为</w:t>
      </w:r>
      <w:r>
        <w:rPr>
          <w:color w:val="000000" w:themeColor="text1"/>
          <w:position w:val="-10"/>
          <w:szCs w:val="21"/>
        </w:rPr>
        <w:object>
          <v:shape id="_x0000_i1031" o:spt="75" type="#_x0000_t75" style="height:12.75pt;width:18.75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r>
        <w:rPr>
          <w:rFonts w:hint="eastAsia"/>
          <w:color w:val="000000" w:themeColor="text1"/>
          <w:szCs w:val="21"/>
        </w:rPr>
        <w:t>，分布函数</w:t>
      </w:r>
      <w:r>
        <w:rPr>
          <w:color w:val="000000" w:themeColor="text1"/>
          <w:position w:val="-10"/>
          <w:szCs w:val="21"/>
        </w:rPr>
        <w:object>
          <v:shape id="_x0000_i1032" o:spt="75" type="#_x0000_t75" style="height:12.75pt;width:18.75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r>
        <w:rPr>
          <w:rFonts w:hint="eastAsia"/>
          <w:color w:val="000000" w:themeColor="text1"/>
          <w:szCs w:val="21"/>
        </w:rPr>
        <w:t>严格单调递增且可导，</w:t>
      </w:r>
      <w:r>
        <w:rPr>
          <w:color w:val="000000" w:themeColor="text1"/>
          <w:position w:val="-10"/>
          <w:szCs w:val="21"/>
        </w:rPr>
        <w:object>
          <v:shape id="_x0000_i1033" o:spt="75" type="#_x0000_t75" style="height:15pt;width:27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r>
        <w:rPr>
          <w:rFonts w:hint="eastAsia"/>
          <w:color w:val="000000" w:themeColor="text1"/>
          <w:szCs w:val="21"/>
        </w:rPr>
        <w:t>为其逆函数，令</w:t>
      </w:r>
      <w:r>
        <w:rPr>
          <w:color w:val="000000" w:themeColor="text1"/>
          <w:position w:val="-10"/>
          <w:szCs w:val="21"/>
        </w:rPr>
        <w:object>
          <v:shape id="_x0000_i1034" o:spt="75" type="#_x0000_t75" style="height:15pt;width:58.5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26">
            <o:LockedField>false</o:LockedField>
          </o:OLEObject>
        </w:object>
      </w:r>
      <w:r>
        <w:rPr>
          <w:rFonts w:hint="eastAsia"/>
          <w:color w:val="000000" w:themeColor="text1"/>
          <w:szCs w:val="21"/>
        </w:rPr>
        <w:t xml:space="preserve">. </w:t>
      </w:r>
    </w:p>
    <w:p>
      <w:pPr>
        <w:spacing w:line="360" w:lineRule="exact"/>
        <w:ind w:firstLine="420" w:firstLineChars="200"/>
        <w:rPr>
          <w:color w:val="000000" w:themeColor="text1"/>
          <w:szCs w:val="21"/>
        </w:rPr>
      </w:pPr>
      <w:r>
        <w:rPr>
          <w:rFonts w:hint="eastAsia"/>
          <w:color w:val="000000" w:themeColor="text1"/>
          <w:szCs w:val="21"/>
        </w:rPr>
        <w:t>供应商的产出量具有不确定性，即若供应商计划产出量为</w:t>
      </w:r>
      <w:r>
        <w:rPr>
          <w:color w:val="000000" w:themeColor="text1"/>
          <w:position w:val="-10"/>
          <w:szCs w:val="21"/>
        </w:rPr>
        <w:object>
          <v:shape id="_x0000_i1035" o:spt="75" type="#_x0000_t75" style="height:12.75pt;width:9.75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r>
        <w:rPr>
          <w:rFonts w:hint="eastAsia"/>
          <w:color w:val="000000" w:themeColor="text1"/>
          <w:szCs w:val="21"/>
        </w:rPr>
        <w:t>，实际产出量为</w:t>
      </w:r>
      <w:bookmarkStart w:id="2" w:name="OLE_LINK19"/>
      <w:r>
        <w:rPr>
          <w:color w:val="000000" w:themeColor="text1"/>
          <w:position w:val="-10"/>
          <w:szCs w:val="21"/>
        </w:rPr>
        <w:object>
          <v:shape id="_x0000_i1036" o:spt="75" type="#_x0000_t75" style="height:13.5pt;width:19.5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bookmarkEnd w:id="2"/>
      <w:r>
        <w:rPr>
          <w:rFonts w:hint="eastAsia"/>
          <w:color w:val="000000" w:themeColor="text1"/>
          <w:szCs w:val="21"/>
        </w:rPr>
        <w:t>，其中</w:t>
      </w:r>
      <w:r>
        <w:rPr>
          <w:color w:val="000000" w:themeColor="text1"/>
          <w:position w:val="-4"/>
          <w:szCs w:val="21"/>
        </w:rPr>
        <w:object>
          <v:shape id="_x0000_i1037" o:spt="75" type="#_x0000_t75" style="height:12.75pt;width:11.2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color w:val="000000" w:themeColor="text1"/>
          <w:szCs w:val="21"/>
        </w:rPr>
        <w:t>为产出量波动的随机变量，其取值范围为</w:t>
      </w:r>
      <w:r>
        <w:rPr>
          <w:color w:val="000000" w:themeColor="text1"/>
          <w:position w:val="-12"/>
          <w:szCs w:val="21"/>
        </w:rPr>
        <w:object>
          <v:shape id="_x0000_i1038" o:spt="75" type="#_x0000_t75" style="height:15pt;width:28.5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38" r:id="rId34">
            <o:LockedField>false</o:LockedField>
          </o:OLEObject>
        </w:object>
      </w:r>
      <w:r>
        <w:rPr>
          <w:rFonts w:hint="eastAsia"/>
          <w:color w:val="000000" w:themeColor="text1"/>
          <w:szCs w:val="21"/>
        </w:rPr>
        <w:t>，其概率密度函数为</w:t>
      </w:r>
      <w:r>
        <w:rPr>
          <w:color w:val="000000" w:themeColor="text1"/>
          <w:position w:val="-10"/>
          <w:szCs w:val="21"/>
        </w:rPr>
        <w:object>
          <v:shape id="_x0000_i1039" o:spt="75" type="#_x0000_t75" style="height:12.75pt;width:18pt;" o:ole="t" filled="f" o:preferrelative="t" stroked="f" coordsize="21600,21600">
            <v:path/>
            <v:fill on="f" focussize="0,0"/>
            <v:stroke on="f" joinstyle="miter"/>
            <v:imagedata r:id="rId37" o:title=""/>
            <o:lock v:ext="edit" aspectratio="t"/>
            <w10:wrap type="none"/>
            <w10:anchorlock/>
          </v:shape>
          <o:OLEObject Type="Embed" ProgID="Equation.DSMT4" ShapeID="_x0000_i1039" DrawAspect="Content" ObjectID="_1468075739" r:id="rId36">
            <o:LockedField>false</o:LockedField>
          </o:OLEObject>
        </w:object>
      </w:r>
      <w:r>
        <w:rPr>
          <w:rFonts w:hint="eastAsia"/>
          <w:color w:val="000000" w:themeColor="text1"/>
          <w:szCs w:val="21"/>
        </w:rPr>
        <w:t>，分布函数</w:t>
      </w:r>
      <w:r>
        <w:rPr>
          <w:color w:val="000000" w:themeColor="text1"/>
          <w:position w:val="-10"/>
          <w:szCs w:val="21"/>
        </w:rPr>
        <w:object>
          <v:shape id="_x0000_i1040" o:spt="75" type="#_x0000_t75" style="height:12.75pt;width:18.75pt;" o:ole="t" filled="f" o:preferrelative="t" stroked="f" coordsize="21600,21600">
            <v:path/>
            <v:fill on="f" focussize="0,0"/>
            <v:stroke on="f" joinstyle="miter"/>
            <v:imagedata r:id="rId39" o:title=""/>
            <o:lock v:ext="edit" aspectratio="t"/>
            <w10:wrap type="none"/>
            <w10:anchorlock/>
          </v:shape>
          <o:OLEObject Type="Embed" ProgID="Equation.DSMT4" ShapeID="_x0000_i1040" DrawAspect="Content" ObjectID="_1468075740" r:id="rId38">
            <o:LockedField>false</o:LockedField>
          </o:OLEObject>
        </w:object>
      </w:r>
      <w:r>
        <w:rPr>
          <w:rFonts w:hint="eastAsia"/>
          <w:color w:val="000000" w:themeColor="text1"/>
          <w:szCs w:val="21"/>
        </w:rPr>
        <w:t>，令</w:t>
      </w:r>
      <w:r>
        <w:rPr>
          <w:color w:val="000000" w:themeColor="text1"/>
          <w:position w:val="-10"/>
          <w:szCs w:val="21"/>
        </w:rPr>
        <w:object>
          <v:shape id="_x0000_i1041" o:spt="75" type="#_x0000_t75" style="height:15pt;width:58.5pt;" o:ole="t" filled="f" o:preferrelative="t" stroked="f" coordsize="21600,21600">
            <v:path/>
            <v:fill on="f" focussize="0,0"/>
            <v:stroke on="f" joinstyle="miter"/>
            <v:imagedata r:id="rId41" o:title=""/>
            <o:lock v:ext="edit" aspectratio="t"/>
            <w10:wrap type="none"/>
            <w10:anchorlock/>
          </v:shape>
          <o:OLEObject Type="Embed" ProgID="Equation.DSMT4" ShapeID="_x0000_i1041" DrawAspect="Content" ObjectID="_1468075741" r:id="rId40">
            <o:LockedField>false</o:LockedField>
          </o:OLEObject>
        </w:object>
      </w:r>
      <w:r>
        <w:rPr>
          <w:rFonts w:hint="eastAsia"/>
          <w:color w:val="000000" w:themeColor="text1"/>
          <w:szCs w:val="21"/>
        </w:rPr>
        <w:t>，并令</w:t>
      </w:r>
      <w:r>
        <w:rPr>
          <w:color w:val="000000" w:themeColor="text1"/>
          <w:position w:val="-4"/>
          <w:szCs w:val="21"/>
        </w:rPr>
        <w:object>
          <v:shape id="_x0000_i1042" o:spt="75" type="#_x0000_t75" style="height:12.75pt;width:11.25pt;" o:ole="t" filled="f" o:preferrelative="t" stroked="f" coordsize="21600,21600">
            <v:path/>
            <v:fill on="f" focussize="0,0"/>
            <v:stroke on="f" joinstyle="miter"/>
            <v:imagedata r:id="rId33" o:title=""/>
            <o:lock v:ext="edit" aspectratio="t"/>
            <w10:wrap type="none"/>
            <w10:anchorlock/>
          </v:shape>
          <o:OLEObject Type="Embed" ProgID="Equation.DSMT4" ShapeID="_x0000_i1042" DrawAspect="Content" ObjectID="_1468075742" r:id="rId42">
            <o:LockedField>false</o:LockedField>
          </o:OLEObject>
        </w:object>
      </w:r>
      <w:r>
        <w:rPr>
          <w:rFonts w:hint="eastAsia"/>
          <w:color w:val="000000" w:themeColor="text1"/>
          <w:szCs w:val="21"/>
        </w:rPr>
        <w:t>的期望为</w:t>
      </w:r>
      <w:r>
        <w:rPr>
          <w:color w:val="000000" w:themeColor="text1"/>
          <w:position w:val="-6"/>
          <w:szCs w:val="21"/>
        </w:rPr>
        <w:object>
          <v:shape id="_x0000_i1043" o:spt="75" type="#_x0000_t75" style="height:14.25pt;width:39pt;" o:ole="t" filled="f" o:preferrelative="t" stroked="f" coordsize="21600,21600">
            <v:path/>
            <v:fill on="f" focussize="0,0"/>
            <v:stroke on="f" joinstyle="miter"/>
            <v:imagedata r:id="rId44" o:title=""/>
            <o:lock v:ext="edit" aspectratio="t"/>
            <w10:wrap type="none"/>
            <w10:anchorlock/>
          </v:shape>
          <o:OLEObject Type="Embed" ProgID="Equation.DSMT4" ShapeID="_x0000_i1043" DrawAspect="Content" ObjectID="_1468075743" r:id="rId43">
            <o:LockedField>false</o:LockedField>
          </o:OLEObject>
        </w:object>
      </w:r>
      <w:r>
        <w:rPr>
          <w:rFonts w:hint="eastAsia"/>
          <w:color w:val="000000" w:themeColor="text1"/>
          <w:szCs w:val="21"/>
        </w:rPr>
        <w:t>。作为中小企业的供应商对产品的批发价格没有决定权，产品的批发价由市场决定。</w:t>
      </w:r>
    </w:p>
    <w:p>
      <w:pPr>
        <w:spacing w:line="360" w:lineRule="exact"/>
        <w:ind w:firstLine="420" w:firstLineChars="200"/>
        <w:rPr>
          <w:color w:val="000000" w:themeColor="text1"/>
          <w:szCs w:val="21"/>
        </w:rPr>
      </w:pPr>
      <w:r>
        <w:rPr>
          <w:color w:val="000000" w:themeColor="text1"/>
          <w:szCs w:val="21"/>
        </w:rPr>
        <w:t>…</w:t>
      </w:r>
      <w:r>
        <w:rPr>
          <w:rFonts w:hint="eastAsia"/>
          <w:color w:val="000000" w:themeColor="text1"/>
          <w:szCs w:val="21"/>
        </w:rPr>
        <w:t>..</w:t>
      </w:r>
    </w:p>
    <w:p>
      <w:pPr>
        <w:spacing w:line="360" w:lineRule="exact"/>
        <w:rPr>
          <w:rFonts w:eastAsia="黑体"/>
          <w:color w:val="000000" w:themeColor="text1"/>
          <w:sz w:val="24"/>
        </w:rPr>
      </w:pPr>
      <w:r>
        <w:rPr>
          <w:rFonts w:hint="eastAsia" w:eastAsia="黑体"/>
          <w:color w:val="000000" w:themeColor="text1"/>
          <w:sz w:val="24"/>
        </w:rPr>
        <w:t xml:space="preserve">3 资金充足下的供应链决策 </w:t>
      </w:r>
    </w:p>
    <w:p>
      <w:pPr>
        <w:spacing w:line="360" w:lineRule="exact"/>
        <w:ind w:firstLine="420" w:firstLineChars="200"/>
        <w:rPr>
          <w:color w:val="000000" w:themeColor="text1"/>
          <w:szCs w:val="21"/>
        </w:rPr>
      </w:pPr>
      <w:r>
        <w:rPr>
          <w:rFonts w:hint="eastAsia"/>
          <w:color w:val="000000" w:themeColor="text1"/>
          <w:szCs w:val="21"/>
        </w:rPr>
        <w:t>采用逆向归纳法建立并求解序贯博弈模型：对于供应商来说，分销商的订货量是已知的，据此以供应商利润最大化为目标，求解供应商最优生产量决策；在供应商最有生产量决策的基础上，以分销商利润最大化为目标，求解分销商的最优订货量决策。</w:t>
      </w:r>
    </w:p>
    <w:p>
      <w:pPr>
        <w:spacing w:line="360" w:lineRule="auto"/>
        <w:rPr>
          <w:rFonts w:eastAsia="楷体"/>
          <w:b/>
          <w:color w:val="000000" w:themeColor="text1"/>
          <w:szCs w:val="21"/>
        </w:rPr>
      </w:pPr>
      <w:r>
        <w:rPr>
          <w:rFonts w:hint="eastAsia" w:eastAsia="楷体"/>
          <w:b/>
          <w:color w:val="000000" w:themeColor="text1"/>
          <w:szCs w:val="21"/>
        </w:rPr>
        <w:t>3.1 资金充足下供应商最优生产决策</w:t>
      </w:r>
    </w:p>
    <w:p>
      <w:pPr>
        <w:spacing w:line="360" w:lineRule="atLeast"/>
        <w:ind w:firstLine="420" w:firstLineChars="200"/>
        <w:rPr>
          <w:color w:val="000000" w:themeColor="text1"/>
          <w:szCs w:val="21"/>
        </w:rPr>
      </w:pPr>
      <w:r>
        <w:rPr>
          <w:rFonts w:hint="eastAsia"/>
          <w:color w:val="000000" w:themeColor="text1"/>
          <w:szCs w:val="21"/>
        </w:rPr>
        <w:t>用下标0表示资金充足的情况。资金充足的情况下，对于供应商来说，分销商的产品订货量</w:t>
      </w:r>
      <w:r>
        <w:rPr>
          <w:color w:val="000000" w:themeColor="text1"/>
          <w:position w:val="-12"/>
          <w:szCs w:val="21"/>
        </w:rPr>
        <w:object>
          <v:shape id="_x0000_i1044" o:spt="75" type="#_x0000_t75" style="height:15pt;width:14.25pt;" o:ole="t" filled="f" o:preferrelative="t" stroked="f" coordsize="21600,21600">
            <v:path/>
            <v:fill on="f" focussize="0,0"/>
            <v:stroke on="f" joinstyle="miter"/>
            <v:imagedata r:id="rId46" o:title=""/>
            <o:lock v:ext="edit" aspectratio="t"/>
            <w10:wrap type="none"/>
            <w10:anchorlock/>
          </v:shape>
          <o:OLEObject Type="Embed" ProgID="Equation.DSMT4" ShapeID="_x0000_i1044" DrawAspect="Content" ObjectID="_1468075744" r:id="rId45">
            <o:LockedField>false</o:LockedField>
          </o:OLEObject>
        </w:object>
      </w:r>
      <w:r>
        <w:rPr>
          <w:rFonts w:hint="eastAsia"/>
          <w:color w:val="000000" w:themeColor="text1"/>
          <w:szCs w:val="21"/>
        </w:rPr>
        <w:t>已知，供应商决策产品的计划产量</w:t>
      </w:r>
      <w:r>
        <w:rPr>
          <w:color w:val="000000" w:themeColor="text1"/>
          <w:position w:val="-12"/>
          <w:szCs w:val="21"/>
        </w:rPr>
        <w:object>
          <v:shape id="_x0000_i1045" o:spt="75" type="#_x0000_t75" style="height:15pt;width:14.25pt;" o:ole="t" filled="f" o:preferrelative="t" stroked="f" coordsize="21600,21600">
            <v:path/>
            <v:fill on="f" focussize="0,0"/>
            <v:stroke on="f" joinstyle="miter"/>
            <v:imagedata r:id="rId48" o:title=""/>
            <o:lock v:ext="edit" aspectratio="t"/>
            <w10:wrap type="none"/>
            <w10:anchorlock/>
          </v:shape>
          <o:OLEObject Type="Embed" ProgID="Equation.DSMT4" ShapeID="_x0000_i1045" DrawAspect="Content" ObjectID="_1468075745" r:id="rId47">
            <o:LockedField>false</o:LockedField>
          </o:OLEObject>
        </w:object>
      </w:r>
      <w:r>
        <w:rPr>
          <w:rFonts w:hint="eastAsia"/>
          <w:color w:val="000000" w:themeColor="text1"/>
          <w:szCs w:val="21"/>
        </w:rPr>
        <w:t>。此时供应商的利润为</w:t>
      </w:r>
    </w:p>
    <w:p>
      <w:pPr>
        <w:spacing w:line="360" w:lineRule="atLeast"/>
        <w:ind w:firstLine="420" w:firstLineChars="200"/>
        <w:rPr>
          <w:color w:val="000000" w:themeColor="text1"/>
          <w:szCs w:val="21"/>
        </w:rPr>
      </w:pPr>
      <w:bookmarkStart w:id="3" w:name="OLE_LINK12"/>
      <w:bookmarkStart w:id="4" w:name="OLE_LINK11"/>
      <w:r>
        <w:rPr>
          <w:color w:val="000000" w:themeColor="text1"/>
          <w:position w:val="-12"/>
          <w:szCs w:val="21"/>
        </w:rPr>
        <w:object>
          <v:shape id="_x0000_i1046" o:spt="75" type="#_x0000_t75" style="height:17.25pt;width:132.75pt;" o:ole="t" filled="f" o:preferrelative="t" stroked="f" coordsize="21600,21600">
            <v:path/>
            <v:fill on="f" focussize="0,0"/>
            <v:stroke on="f" joinstyle="miter"/>
            <v:imagedata r:id="rId50" o:title=""/>
            <o:lock v:ext="edit" aspectratio="t"/>
            <w10:wrap type="none"/>
            <w10:anchorlock/>
          </v:shape>
          <o:OLEObject Type="Embed" ProgID="Equation.DSMT4" ShapeID="_x0000_i1046" DrawAspect="Content" ObjectID="_1468075746" r:id="rId49">
            <o:LockedField>false</o:LockedField>
          </o:OLEObject>
        </w:object>
      </w:r>
      <w:bookmarkEnd w:id="3"/>
      <w:bookmarkEnd w:id="4"/>
      <w:r>
        <w:rPr>
          <w:rFonts w:hint="eastAsia"/>
          <w:color w:val="000000" w:themeColor="text1"/>
          <w:szCs w:val="21"/>
        </w:rPr>
        <w:t xml:space="preserve">                                                (1)</w:t>
      </w:r>
    </w:p>
    <w:p>
      <w:pPr>
        <w:spacing w:line="360" w:lineRule="atLeast"/>
        <w:ind w:firstLine="420" w:firstLineChars="200"/>
        <w:rPr>
          <w:color w:val="000000" w:themeColor="text1"/>
          <w:szCs w:val="21"/>
        </w:rPr>
      </w:pPr>
      <w:r>
        <w:rPr>
          <w:rFonts w:hint="eastAsia"/>
          <w:color w:val="000000" w:themeColor="text1"/>
          <w:szCs w:val="21"/>
        </w:rPr>
        <w:t>供应商的期望利润为</w:t>
      </w:r>
    </w:p>
    <w:p>
      <w:pPr>
        <w:spacing w:line="360" w:lineRule="atLeast"/>
        <w:ind w:firstLine="315" w:firstLineChars="150"/>
        <w:rPr>
          <w:color w:val="000000" w:themeColor="text1"/>
          <w:szCs w:val="21"/>
        </w:rPr>
      </w:pPr>
      <w:r>
        <w:rPr>
          <w:color w:val="000000" w:themeColor="text1"/>
          <w:position w:val="-22"/>
          <w:szCs w:val="21"/>
        </w:rPr>
        <w:object>
          <v:shape id="_x0000_i1047" o:spt="75" type="#_x0000_t75" style="height:26.25pt;width:239.25pt;" o:ole="t" filled="f" o:preferrelative="t" stroked="f" coordsize="21600,21600">
            <v:path/>
            <v:fill on="f" focussize="0,0"/>
            <v:stroke on="f" joinstyle="miter"/>
            <v:imagedata r:id="rId52" o:title=""/>
            <o:lock v:ext="edit" aspectratio="t"/>
            <w10:wrap type="none"/>
            <w10:anchorlock/>
          </v:shape>
          <o:OLEObject Type="Embed" ProgID="Equation.DSMT4" ShapeID="_x0000_i1047" DrawAspect="Content" ObjectID="_1468075747" r:id="rId51">
            <o:LockedField>false</o:LockedField>
          </o:OLEObject>
        </w:object>
      </w:r>
      <w:r>
        <w:rPr>
          <w:rFonts w:hint="eastAsia"/>
          <w:color w:val="000000" w:themeColor="text1"/>
          <w:szCs w:val="21"/>
        </w:rPr>
        <w:t xml:space="preserve">                             (2)</w:t>
      </w:r>
    </w:p>
    <w:p>
      <w:pPr>
        <w:spacing w:line="360" w:lineRule="atLeast"/>
        <w:rPr>
          <w:b/>
          <w:color w:val="000000" w:themeColor="text1"/>
          <w:szCs w:val="21"/>
        </w:rPr>
      </w:pPr>
      <w:r>
        <w:rPr>
          <w:b/>
          <w:color w:val="000000" w:themeColor="text1"/>
          <w:szCs w:val="21"/>
        </w:rPr>
        <w:t>……</w:t>
      </w:r>
    </w:p>
    <w:p>
      <w:pPr>
        <w:spacing w:line="360" w:lineRule="exact"/>
        <w:rPr>
          <w:b/>
          <w:color w:val="000000" w:themeColor="text1"/>
          <w:szCs w:val="21"/>
        </w:rPr>
      </w:pPr>
    </w:p>
    <w:p>
      <w:pPr>
        <w:ind w:firstLine="210" w:firstLineChars="100"/>
        <w:rPr>
          <w:color w:val="000000" w:themeColor="text1"/>
          <w:szCs w:val="21"/>
        </w:rPr>
      </w:pPr>
      <w:r>
        <w:rPr>
          <w:color w:val="000000" w:themeColor="text1"/>
        </w:rPr>
        <w:pict>
          <v:line id="直接连接符 20" o:spid="_x0000_s1026" o:spt="20" style="position:absolute;left:0pt;margin-left:330pt;margin-top:80pt;height:31.2pt;width:0pt;z-index:2516664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">
            <v:path arrowok="t"/>
            <v:fill focussize="0,0"/>
            <v:stroke dashstyle="dash"/>
            <v:imagedata o:title=""/>
            <o:lock v:ext="edit"/>
          </v:line>
        </w:pict>
      </w:r>
      <w:r>
        <w:rPr>
          <w:color w:val="000000" w:themeColor="text1"/>
        </w:rPr>
        <w:pict>
          <v:line id="直接连接符 19" o:spid="_x0000_s1033" o:spt="20" style="position:absolute;left:0pt;margin-left:89.85pt;margin-top:62.4pt;height:46.8pt;width:0pt;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">
            <v:path arrowok="t"/>
            <v:fill focussize="0,0"/>
            <v:stroke dashstyle="dash"/>
            <v:imagedata o:title=""/>
            <o:lock v:ext="edit"/>
          </v:line>
        </w:pict>
      </w:r>
      <w:r>
        <w:rPr>
          <w:color w:val="000000" w:themeColor="text1"/>
        </w:rPr>
        <w:pict>
          <v:line id="直接连接符 18" o:spid="_x0000_s1032" o:spt="20" style="position:absolute;left:0pt;margin-left:342pt;margin-top:62.4pt;height:31.2pt;width:36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">
            <v:path arrowok="t"/>
            <v:fill focussize="0,0"/>
            <v:stroke weight="0.25pt" dashstyle="1 1" endarrow="block" endarrowwidth="narrow" endarrowlength="short"/>
            <v:imagedata o:title=""/>
            <o:lock v:ext="edit"/>
          </v:line>
        </w:pict>
      </w:r>
      <w:r>
        <w:rPr>
          <w:color w:val="000000" w:themeColor="text1"/>
        </w:rPr>
        <w:pict>
          <v:line id="直接连接符 17" o:spid="_x0000_s1031" o:spt="20" style="position:absolute;left:0pt;flip:y;margin-left:333pt;margin-top:85.8pt;height:7.8pt;width:9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">
            <v:path arrowok="t"/>
            <v:fill focussize="0,0"/>
            <v:stroke weight="0.25pt" dashstyle="1 1" endarrow="block" endarrowwidth="narrow" endarrowlength="short"/>
            <v:imagedata o:title=""/>
            <o:lock v:ext="edit"/>
          </v:line>
        </w:pict>
      </w:r>
      <w:r>
        <w:rPr>
          <w:color w:val="000000" w:themeColor="text1"/>
        </w:rPr>
        <w:pict>
          <v:line id="直接连接符 16" o:spid="_x0000_s1030" o:spt="20" style="position:absolute;left:0pt;flip:x y;margin-left:306pt;margin-top:85.8pt;height:7.8pt;width:9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">
            <v:path arrowok="t"/>
            <v:fill focussize="0,0"/>
            <v:stroke weight="0.25pt" dashstyle="1 1" endarrow="block" endarrowwidth="narrow" endarrowlength="short"/>
            <v:imagedata o:title=""/>
            <o:lock v:ext="edit"/>
          </v:line>
        </w:pict>
      </w:r>
      <w:r>
        <w:rPr>
          <w:color w:val="000000" w:themeColor="text1"/>
        </w:rPr>
        <w:pict>
          <v:line id="直接连接符 15" o:spid="_x0000_s1029" o:spt="20" style="position:absolute;left:0pt;flip:x;margin-left:306pt;margin-top:62.4pt;height:7.8pt;width:27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">
            <v:path arrowok="t"/>
            <v:fill focussize="0,0"/>
            <v:stroke weight="0.25pt" dashstyle="1 1" endarrow="block" endarrowwidth="narrow" endarrowlength="short"/>
            <v:imagedata o:title=""/>
            <o:lock v:ext="edit"/>
          </v:line>
        </w:pict>
      </w:r>
      <w:r>
        <w:rPr>
          <w:color w:val="000000" w:themeColor="text1"/>
        </w:rPr>
        <w:pict>
          <v:line id="直接连接符 14" o:spid="_x0000_s1028" o:spt="20" style="position:absolute;left:0pt;flip:x y;margin-left:45pt;margin-top:46.8pt;height:23.4pt;width:9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">
            <v:path arrowok="t"/>
            <v:fill focussize="0,0"/>
            <v:stroke weight="0.25pt" dashstyle="1 1" endarrow="block" endarrowwidth="narrow" endarrowlength="short"/>
            <v:imagedata o:title=""/>
            <o:lock v:ext="edit"/>
          </v:line>
        </w:pict>
      </w:r>
      <w:r>
        <w:rPr>
          <w:color w:val="000000" w:themeColor="text1"/>
        </w:rPr>
        <w:pict>
          <v:line id="直接连接符 13" o:spid="_x0000_s1027" o:spt="20" style="position:absolute;left:0pt;flip:x;margin-left:54pt;margin-top:39pt;height:7.8pt;width:18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">
            <v:path arrowok="t"/>
            <v:fill focussize="0,0"/>
            <v:stroke weight="0.25pt" dashstyle="1 1" endarrow="block" endarrowwidth="narrow" endarrowlength="short"/>
            <v:imagedata o:title=""/>
            <o:lock v:ext="edit"/>
          </v:line>
        </w:pict>
      </w:r>
      <w:r>
        <w:rPr>
          <w:color w:val="000000" w:themeColor="text1"/>
        </w:rPr>
        <w:drawing>
          <wp:inline distT="0" distB="0" distL="0" distR="0">
            <wp:extent cx="2152650" cy="1743075"/>
            <wp:effectExtent l="0" t="0" r="0" b="0"/>
            <wp:docPr id="12" name="图表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r>
        <w:rPr>
          <w:rFonts w:hint="eastAsia"/>
          <w:color w:val="000000" w:themeColor="text1"/>
        </w:rPr>
        <w:t xml:space="preserve">             </w:t>
      </w:r>
      <w:r>
        <w:rPr>
          <w:color w:val="000000" w:themeColor="text1"/>
        </w:rPr>
        <w:drawing>
          <wp:inline distT="0" distB="0" distL="0" distR="0">
            <wp:extent cx="2143125" cy="1743075"/>
            <wp:effectExtent l="0" t="0" r="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pPr>
        <w:rPr>
          <w:color w:val="000000" w:themeColor="text1"/>
          <w:sz w:val="18"/>
          <w:szCs w:val="18"/>
        </w:rPr>
      </w:pPr>
      <w:r>
        <w:rPr>
          <w:rFonts w:hint="eastAsia"/>
          <w:color w:val="000000" w:themeColor="text1"/>
        </w:rPr>
        <w:t xml:space="preserve"> </w:t>
      </w:r>
      <w:r>
        <w:rPr>
          <w:rFonts w:hint="eastAsia"/>
          <w:color w:val="000000" w:themeColor="text1"/>
          <w:sz w:val="18"/>
          <w:szCs w:val="18"/>
        </w:rPr>
        <w:t>图1 产品计划产出量与订购量比值随产出</w:t>
      </w:r>
      <w:bookmarkStart w:id="5" w:name="OLE_LINK8"/>
      <w:r>
        <w:rPr>
          <w:rFonts w:hint="eastAsia"/>
          <w:color w:val="000000" w:themeColor="text1"/>
          <w:sz w:val="18"/>
          <w:szCs w:val="18"/>
        </w:rPr>
        <w:t>波动率</w:t>
      </w:r>
      <w:bookmarkEnd w:id="5"/>
      <w:r>
        <w:rPr>
          <w:rFonts w:hint="eastAsia"/>
          <w:color w:val="000000" w:themeColor="text1"/>
          <w:sz w:val="18"/>
          <w:szCs w:val="18"/>
        </w:rPr>
        <w:t>期望变化        图2 融资额度随产出波动率期望变化</w:t>
      </w:r>
    </w:p>
    <w:p>
      <w:pPr>
        <w:spacing w:line="360" w:lineRule="exact"/>
        <w:rPr>
          <w:b/>
          <w:color w:val="000000" w:themeColor="text1"/>
          <w:szCs w:val="21"/>
        </w:rPr>
      </w:pPr>
      <w:r>
        <w:rPr>
          <w:rFonts w:hint="eastAsia"/>
          <w:b/>
          <w:color w:val="000000" w:themeColor="text1"/>
          <w:szCs w:val="21"/>
        </w:rPr>
        <w:t>参考文献:</w:t>
      </w:r>
    </w:p>
    <w:p>
      <w:pPr>
        <w:autoSpaceDE w:val="0"/>
        <w:autoSpaceDN w:val="0"/>
        <w:adjustRightInd w:val="0"/>
        <w:ind w:left="359" w:leftChars="-1" w:hanging="361" w:hangingChars="201"/>
        <w:rPr>
          <w:color w:val="000000" w:themeColor="text1"/>
          <w:kern w:val="0"/>
          <w:sz w:val="18"/>
          <w:szCs w:val="18"/>
        </w:rPr>
      </w:pPr>
      <w:r>
        <w:rPr>
          <w:rFonts w:hint="eastAsia"/>
          <w:color w:val="000000" w:themeColor="text1"/>
          <w:kern w:val="0"/>
          <w:sz w:val="18"/>
          <w:szCs w:val="18"/>
        </w:rPr>
        <w:t>[1]</w:t>
      </w:r>
      <w:r>
        <w:rPr>
          <w:color w:val="000000" w:themeColor="text1"/>
          <w:kern w:val="0"/>
          <w:sz w:val="18"/>
          <w:szCs w:val="18"/>
        </w:rPr>
        <w:t>Teng J</w:t>
      </w:r>
      <w:r>
        <w:rPr>
          <w:rFonts w:hint="eastAsia"/>
          <w:color w:val="000000" w:themeColor="text1"/>
          <w:kern w:val="0"/>
          <w:sz w:val="18"/>
          <w:szCs w:val="18"/>
        </w:rPr>
        <w:t xml:space="preserve"> </w:t>
      </w:r>
      <w:r>
        <w:rPr>
          <w:color w:val="000000" w:themeColor="text1"/>
          <w:kern w:val="0"/>
          <w:sz w:val="18"/>
          <w:szCs w:val="18"/>
        </w:rPr>
        <w:t>T</w:t>
      </w:r>
      <w:r>
        <w:rPr>
          <w:rFonts w:hint="eastAsia"/>
          <w:color w:val="000000" w:themeColor="text1"/>
          <w:kern w:val="0"/>
          <w:sz w:val="18"/>
          <w:szCs w:val="18"/>
        </w:rPr>
        <w:t>,</w:t>
      </w:r>
      <w:r>
        <w:rPr>
          <w:color w:val="000000" w:themeColor="text1"/>
          <w:kern w:val="0"/>
          <w:sz w:val="18"/>
          <w:szCs w:val="18"/>
        </w:rPr>
        <w:t xml:space="preserve"> Lou K</w:t>
      </w:r>
      <w:r>
        <w:rPr>
          <w:rFonts w:hint="eastAsia"/>
          <w:color w:val="000000" w:themeColor="text1"/>
          <w:kern w:val="0"/>
          <w:sz w:val="18"/>
          <w:szCs w:val="18"/>
        </w:rPr>
        <w:t xml:space="preserve"> </w:t>
      </w:r>
      <w:r>
        <w:rPr>
          <w:color w:val="000000" w:themeColor="text1"/>
          <w:kern w:val="0"/>
          <w:sz w:val="18"/>
          <w:szCs w:val="18"/>
        </w:rPr>
        <w:t>R</w:t>
      </w:r>
      <w:r>
        <w:rPr>
          <w:rFonts w:hint="eastAsia"/>
          <w:color w:val="000000" w:themeColor="text1"/>
          <w:kern w:val="0"/>
          <w:sz w:val="18"/>
          <w:szCs w:val="18"/>
        </w:rPr>
        <w:t xml:space="preserve">. </w:t>
      </w:r>
      <w:r>
        <w:rPr>
          <w:color w:val="000000" w:themeColor="text1"/>
          <w:kern w:val="0"/>
          <w:sz w:val="18"/>
          <w:szCs w:val="18"/>
        </w:rPr>
        <w:t>Seller's optimal credit period and replenishment time in a supply chain with up-stream and down-stream trade credits</w:t>
      </w:r>
      <w:r>
        <w:rPr>
          <w:rFonts w:hint="eastAsia"/>
          <w:color w:val="000000" w:themeColor="text1"/>
          <w:kern w:val="0"/>
          <w:sz w:val="18"/>
          <w:szCs w:val="18"/>
        </w:rPr>
        <w:t xml:space="preserve"> [J]. </w:t>
      </w:r>
      <w:r>
        <w:rPr>
          <w:color w:val="000000" w:themeColor="text1"/>
          <w:kern w:val="0"/>
          <w:sz w:val="18"/>
          <w:szCs w:val="18"/>
        </w:rPr>
        <w:t>JOURNAL OF GLOBAL OPTIMIZATION</w:t>
      </w:r>
      <w:r>
        <w:rPr>
          <w:rFonts w:hint="eastAsia"/>
          <w:color w:val="000000" w:themeColor="text1"/>
          <w:kern w:val="0"/>
          <w:sz w:val="18"/>
          <w:szCs w:val="18"/>
        </w:rPr>
        <w:t xml:space="preserve">, 2012, </w:t>
      </w:r>
      <w:r>
        <w:rPr>
          <w:color w:val="000000" w:themeColor="text1"/>
          <w:kern w:val="0"/>
          <w:sz w:val="18"/>
          <w:szCs w:val="18"/>
        </w:rPr>
        <w:t>53</w:t>
      </w:r>
      <w:r>
        <w:rPr>
          <w:rFonts w:hint="eastAsia"/>
          <w:color w:val="000000" w:themeColor="text1"/>
          <w:kern w:val="0"/>
          <w:sz w:val="18"/>
          <w:szCs w:val="18"/>
        </w:rPr>
        <w:t>(3)</w:t>
      </w:r>
      <w:r>
        <w:rPr>
          <w:color w:val="000000" w:themeColor="text1"/>
          <w:kern w:val="0"/>
          <w:sz w:val="18"/>
          <w:szCs w:val="18"/>
        </w:rPr>
        <w:t>: 417-430</w:t>
      </w:r>
      <w:r>
        <w:rPr>
          <w:rFonts w:hint="eastAsia"/>
          <w:color w:val="000000" w:themeColor="text1"/>
          <w:kern w:val="0"/>
          <w:sz w:val="18"/>
          <w:szCs w:val="18"/>
        </w:rPr>
        <w:t>.</w:t>
      </w:r>
    </w:p>
    <w:p>
      <w:pPr>
        <w:autoSpaceDE w:val="0"/>
        <w:autoSpaceDN w:val="0"/>
        <w:adjustRightInd w:val="0"/>
        <w:ind w:left="359" w:leftChars="-1" w:hanging="361" w:hangingChars="201"/>
        <w:rPr>
          <w:color w:val="000000" w:themeColor="text1"/>
          <w:kern w:val="0"/>
          <w:sz w:val="18"/>
          <w:szCs w:val="18"/>
        </w:rPr>
      </w:pPr>
      <w:r>
        <w:rPr>
          <w:rFonts w:hint="eastAsia"/>
          <w:color w:val="000000" w:themeColor="text1"/>
          <w:kern w:val="0"/>
          <w:sz w:val="18"/>
          <w:szCs w:val="18"/>
        </w:rPr>
        <w:t>[2]</w:t>
      </w:r>
      <w:r>
        <w:rPr>
          <w:color w:val="000000" w:themeColor="text1"/>
          <w:kern w:val="0"/>
          <w:sz w:val="18"/>
          <w:szCs w:val="18"/>
        </w:rPr>
        <w:t>Wu J</w:t>
      </w:r>
      <w:r>
        <w:rPr>
          <w:rFonts w:hint="eastAsia"/>
          <w:color w:val="000000" w:themeColor="text1"/>
          <w:kern w:val="0"/>
          <w:sz w:val="18"/>
          <w:szCs w:val="18"/>
        </w:rPr>
        <w:t>,</w:t>
      </w:r>
      <w:r>
        <w:rPr>
          <w:color w:val="000000" w:themeColor="text1"/>
          <w:kern w:val="0"/>
          <w:sz w:val="18"/>
          <w:szCs w:val="18"/>
        </w:rPr>
        <w:t xml:space="preserve"> Ouyang L</w:t>
      </w:r>
      <w:r>
        <w:rPr>
          <w:rFonts w:hint="eastAsia"/>
          <w:color w:val="000000" w:themeColor="text1"/>
          <w:kern w:val="0"/>
          <w:sz w:val="18"/>
          <w:szCs w:val="18"/>
        </w:rPr>
        <w:t xml:space="preserve"> </w:t>
      </w:r>
      <w:r>
        <w:rPr>
          <w:color w:val="000000" w:themeColor="text1"/>
          <w:kern w:val="0"/>
          <w:sz w:val="18"/>
          <w:szCs w:val="18"/>
        </w:rPr>
        <w:t>Y</w:t>
      </w:r>
      <w:r>
        <w:rPr>
          <w:rFonts w:hint="eastAsia"/>
          <w:color w:val="000000" w:themeColor="text1"/>
          <w:kern w:val="0"/>
          <w:sz w:val="18"/>
          <w:szCs w:val="18"/>
        </w:rPr>
        <w:t>,</w:t>
      </w:r>
      <w:r>
        <w:rPr>
          <w:color w:val="000000" w:themeColor="text1"/>
          <w:kern w:val="0"/>
          <w:sz w:val="18"/>
          <w:szCs w:val="18"/>
        </w:rPr>
        <w:t xml:space="preserve"> Cardenas-Barron L</w:t>
      </w:r>
      <w:r>
        <w:rPr>
          <w:rFonts w:hint="eastAsia"/>
          <w:color w:val="000000" w:themeColor="text1"/>
          <w:kern w:val="0"/>
          <w:sz w:val="18"/>
          <w:szCs w:val="18"/>
        </w:rPr>
        <w:t xml:space="preserve"> </w:t>
      </w:r>
      <w:r>
        <w:rPr>
          <w:color w:val="000000" w:themeColor="text1"/>
          <w:kern w:val="0"/>
          <w:sz w:val="18"/>
          <w:szCs w:val="18"/>
        </w:rPr>
        <w:t>E</w:t>
      </w:r>
      <w:r>
        <w:rPr>
          <w:rFonts w:hint="eastAsia"/>
          <w:color w:val="000000" w:themeColor="text1"/>
          <w:kern w:val="0"/>
          <w:sz w:val="18"/>
          <w:szCs w:val="18"/>
        </w:rPr>
        <w:t>,</w:t>
      </w:r>
      <w:r>
        <w:rPr>
          <w:color w:val="000000" w:themeColor="text1"/>
          <w:kern w:val="0"/>
          <w:sz w:val="18"/>
          <w:szCs w:val="18"/>
        </w:rPr>
        <w:t xml:space="preserve"> Goyal S</w:t>
      </w:r>
      <w:r>
        <w:rPr>
          <w:rFonts w:hint="eastAsia"/>
          <w:color w:val="000000" w:themeColor="text1"/>
          <w:kern w:val="0"/>
          <w:sz w:val="18"/>
          <w:szCs w:val="18"/>
        </w:rPr>
        <w:t xml:space="preserve"> </w:t>
      </w:r>
      <w:r>
        <w:rPr>
          <w:color w:val="000000" w:themeColor="text1"/>
          <w:kern w:val="0"/>
          <w:sz w:val="18"/>
          <w:szCs w:val="18"/>
        </w:rPr>
        <w:t>K</w:t>
      </w:r>
      <w:r>
        <w:rPr>
          <w:rFonts w:hint="eastAsia"/>
          <w:color w:val="000000" w:themeColor="text1"/>
          <w:kern w:val="0"/>
          <w:sz w:val="18"/>
          <w:szCs w:val="18"/>
        </w:rPr>
        <w:t>.</w:t>
      </w:r>
      <w:r>
        <w:rPr>
          <w:color w:val="000000" w:themeColor="text1"/>
          <w:kern w:val="0"/>
          <w:sz w:val="18"/>
          <w:szCs w:val="18"/>
        </w:rPr>
        <w:t> Optimal credit period and lot size for deteriorating items with expiration dates under two-level trade credit financing</w:t>
      </w:r>
      <w:r>
        <w:rPr>
          <w:rFonts w:hint="eastAsia"/>
          <w:color w:val="000000" w:themeColor="text1"/>
          <w:kern w:val="0"/>
          <w:sz w:val="18"/>
          <w:szCs w:val="18"/>
        </w:rPr>
        <w:t xml:space="preserve"> [J]. </w:t>
      </w:r>
      <w:r>
        <w:rPr>
          <w:color w:val="000000" w:themeColor="text1"/>
          <w:kern w:val="0"/>
          <w:sz w:val="18"/>
          <w:szCs w:val="18"/>
        </w:rPr>
        <w:t>EUROPEAN JOURNAL OF OPERATIONAL RESEARCH</w:t>
      </w:r>
      <w:r>
        <w:rPr>
          <w:rFonts w:hint="eastAsia"/>
          <w:color w:val="000000" w:themeColor="text1"/>
          <w:kern w:val="0"/>
          <w:sz w:val="18"/>
          <w:szCs w:val="18"/>
        </w:rPr>
        <w:t>,</w:t>
      </w:r>
      <w:r>
        <w:rPr>
          <w:color w:val="000000" w:themeColor="text1"/>
          <w:kern w:val="0"/>
          <w:sz w:val="18"/>
          <w:szCs w:val="18"/>
        </w:rPr>
        <w:t> </w:t>
      </w:r>
      <w:r>
        <w:rPr>
          <w:rFonts w:hint="eastAsia"/>
          <w:color w:val="000000" w:themeColor="text1"/>
          <w:kern w:val="0"/>
          <w:sz w:val="18"/>
          <w:szCs w:val="18"/>
        </w:rPr>
        <w:t xml:space="preserve">2014, </w:t>
      </w:r>
      <w:r>
        <w:rPr>
          <w:color w:val="000000" w:themeColor="text1"/>
          <w:kern w:val="0"/>
          <w:sz w:val="18"/>
          <w:szCs w:val="18"/>
        </w:rPr>
        <w:t>237</w:t>
      </w:r>
      <w:r>
        <w:rPr>
          <w:rFonts w:hint="eastAsia"/>
          <w:color w:val="000000" w:themeColor="text1"/>
          <w:kern w:val="0"/>
          <w:sz w:val="18"/>
          <w:szCs w:val="18"/>
        </w:rPr>
        <w:t>(</w:t>
      </w:r>
      <w:r>
        <w:rPr>
          <w:color w:val="000000" w:themeColor="text1"/>
          <w:kern w:val="0"/>
          <w:sz w:val="18"/>
          <w:szCs w:val="18"/>
        </w:rPr>
        <w:t>3</w:t>
      </w:r>
      <w:r>
        <w:rPr>
          <w:rFonts w:hint="eastAsia"/>
          <w:color w:val="000000" w:themeColor="text1"/>
          <w:kern w:val="0"/>
          <w:sz w:val="18"/>
          <w:szCs w:val="18"/>
        </w:rPr>
        <w:t>)</w:t>
      </w:r>
      <w:r>
        <w:rPr>
          <w:color w:val="000000" w:themeColor="text1"/>
          <w:kern w:val="0"/>
          <w:sz w:val="18"/>
          <w:szCs w:val="18"/>
        </w:rPr>
        <w:t>: 898-908</w:t>
      </w:r>
      <w:r>
        <w:rPr>
          <w:rFonts w:hint="eastAsia"/>
          <w:color w:val="000000" w:themeColor="text1"/>
          <w:kern w:val="0"/>
          <w:sz w:val="18"/>
          <w:szCs w:val="18"/>
        </w:rPr>
        <w:t>.</w:t>
      </w:r>
    </w:p>
    <w:p>
      <w:pPr>
        <w:autoSpaceDE w:val="0"/>
        <w:autoSpaceDN w:val="0"/>
        <w:adjustRightInd w:val="0"/>
        <w:ind w:left="359" w:leftChars="-1" w:hanging="361" w:hangingChars="201"/>
        <w:rPr>
          <w:color w:val="000000" w:themeColor="text1"/>
          <w:kern w:val="0"/>
          <w:sz w:val="18"/>
          <w:szCs w:val="18"/>
        </w:rPr>
      </w:pPr>
      <w:r>
        <w:rPr>
          <w:rFonts w:hint="eastAsia"/>
          <w:color w:val="000000" w:themeColor="text1"/>
          <w:kern w:val="0"/>
          <w:sz w:val="18"/>
          <w:szCs w:val="18"/>
        </w:rPr>
        <w:t>[3]</w:t>
      </w:r>
      <w:r>
        <w:rPr>
          <w:color w:val="000000" w:themeColor="text1"/>
          <w:kern w:val="0"/>
          <w:sz w:val="18"/>
          <w:szCs w:val="18"/>
        </w:rPr>
        <w:t>Ho C</w:t>
      </w:r>
      <w:r>
        <w:rPr>
          <w:rFonts w:hint="eastAsia"/>
          <w:color w:val="000000" w:themeColor="text1"/>
          <w:kern w:val="0"/>
          <w:sz w:val="18"/>
          <w:szCs w:val="18"/>
        </w:rPr>
        <w:t xml:space="preserve"> </w:t>
      </w:r>
      <w:r>
        <w:rPr>
          <w:color w:val="000000" w:themeColor="text1"/>
          <w:kern w:val="0"/>
          <w:sz w:val="18"/>
          <w:szCs w:val="18"/>
        </w:rPr>
        <w:t>H</w:t>
      </w:r>
      <w:r>
        <w:rPr>
          <w:rFonts w:hint="eastAsia"/>
          <w:color w:val="000000" w:themeColor="text1"/>
          <w:kern w:val="0"/>
          <w:sz w:val="18"/>
          <w:szCs w:val="18"/>
        </w:rPr>
        <w:t xml:space="preserve">. </w:t>
      </w:r>
      <w:r>
        <w:rPr>
          <w:color w:val="000000" w:themeColor="text1"/>
          <w:kern w:val="0"/>
          <w:sz w:val="18"/>
          <w:szCs w:val="18"/>
        </w:rPr>
        <w:t>The optimal integrated inventory policy with price-and-credit-linked demand under two-level trade credit</w:t>
      </w:r>
      <w:r>
        <w:rPr>
          <w:rFonts w:hint="eastAsia"/>
          <w:color w:val="000000" w:themeColor="text1"/>
          <w:kern w:val="0"/>
          <w:sz w:val="18"/>
          <w:szCs w:val="18"/>
        </w:rPr>
        <w:t xml:space="preserve"> [J]. </w:t>
      </w:r>
      <w:r>
        <w:rPr>
          <w:color w:val="000000" w:themeColor="text1"/>
          <w:kern w:val="0"/>
          <w:sz w:val="18"/>
          <w:szCs w:val="18"/>
        </w:rPr>
        <w:t>COMPUTERS &amp; INDUSTRIAL ENGINEERING</w:t>
      </w:r>
      <w:r>
        <w:rPr>
          <w:rFonts w:hint="eastAsia"/>
          <w:color w:val="000000" w:themeColor="text1"/>
          <w:kern w:val="0"/>
          <w:sz w:val="18"/>
          <w:szCs w:val="18"/>
        </w:rPr>
        <w:t>, 2011, 60(1)</w:t>
      </w:r>
      <w:r>
        <w:rPr>
          <w:color w:val="000000" w:themeColor="text1"/>
          <w:kern w:val="0"/>
          <w:sz w:val="18"/>
          <w:szCs w:val="18"/>
        </w:rPr>
        <w:t>: 117-126</w:t>
      </w:r>
      <w:r>
        <w:rPr>
          <w:rFonts w:hint="eastAsia"/>
          <w:color w:val="000000" w:themeColor="text1"/>
          <w:kern w:val="0"/>
          <w:sz w:val="18"/>
          <w:szCs w:val="18"/>
        </w:rPr>
        <w:t>.</w:t>
      </w:r>
    </w:p>
    <w:p>
      <w:pPr>
        <w:autoSpaceDE w:val="0"/>
        <w:autoSpaceDN w:val="0"/>
        <w:adjustRightInd w:val="0"/>
        <w:ind w:left="359" w:leftChars="-1" w:hanging="361" w:hangingChars="201"/>
        <w:rPr>
          <w:color w:val="000000" w:themeColor="text1"/>
          <w:kern w:val="0"/>
          <w:sz w:val="18"/>
          <w:szCs w:val="18"/>
        </w:rPr>
      </w:pPr>
      <w:r>
        <w:rPr>
          <w:rFonts w:hint="eastAsia"/>
          <w:color w:val="000000" w:themeColor="text1"/>
          <w:kern w:val="0"/>
          <w:sz w:val="18"/>
          <w:szCs w:val="18"/>
        </w:rPr>
        <w:t>[4]</w:t>
      </w:r>
      <w:r>
        <w:rPr>
          <w:color w:val="000000" w:themeColor="text1"/>
          <w:kern w:val="0"/>
          <w:sz w:val="18"/>
          <w:szCs w:val="18"/>
        </w:rPr>
        <w:t>Teng J</w:t>
      </w:r>
      <w:r>
        <w:rPr>
          <w:rFonts w:hint="eastAsia"/>
          <w:color w:val="000000" w:themeColor="text1"/>
          <w:kern w:val="0"/>
          <w:sz w:val="18"/>
          <w:szCs w:val="18"/>
        </w:rPr>
        <w:t xml:space="preserve"> </w:t>
      </w:r>
      <w:r>
        <w:rPr>
          <w:color w:val="000000" w:themeColor="text1"/>
          <w:kern w:val="0"/>
          <w:sz w:val="18"/>
          <w:szCs w:val="18"/>
        </w:rPr>
        <w:t>T</w:t>
      </w:r>
      <w:r>
        <w:rPr>
          <w:rFonts w:hint="eastAsia"/>
          <w:color w:val="000000" w:themeColor="text1"/>
          <w:kern w:val="0"/>
          <w:sz w:val="18"/>
          <w:szCs w:val="18"/>
        </w:rPr>
        <w:t>,</w:t>
      </w:r>
      <w:r>
        <w:rPr>
          <w:color w:val="000000" w:themeColor="text1"/>
          <w:kern w:val="0"/>
          <w:sz w:val="18"/>
          <w:szCs w:val="18"/>
        </w:rPr>
        <w:t xml:space="preserve"> Chang C</w:t>
      </w:r>
      <w:r>
        <w:rPr>
          <w:rFonts w:hint="eastAsia"/>
          <w:color w:val="000000" w:themeColor="text1"/>
          <w:kern w:val="0"/>
          <w:sz w:val="18"/>
          <w:szCs w:val="18"/>
        </w:rPr>
        <w:t xml:space="preserve"> </w:t>
      </w:r>
      <w:r>
        <w:rPr>
          <w:color w:val="000000" w:themeColor="text1"/>
          <w:kern w:val="0"/>
          <w:sz w:val="18"/>
          <w:szCs w:val="18"/>
        </w:rPr>
        <w:t>T</w:t>
      </w:r>
      <w:r>
        <w:rPr>
          <w:rFonts w:hint="eastAsia"/>
          <w:color w:val="000000" w:themeColor="text1"/>
          <w:kern w:val="0"/>
          <w:sz w:val="18"/>
          <w:szCs w:val="18"/>
        </w:rPr>
        <w:t>,</w:t>
      </w:r>
      <w:r>
        <w:rPr>
          <w:color w:val="000000" w:themeColor="text1"/>
          <w:kern w:val="0"/>
          <w:sz w:val="18"/>
          <w:szCs w:val="18"/>
        </w:rPr>
        <w:t xml:space="preserve"> Chern M</w:t>
      </w:r>
      <w:r>
        <w:rPr>
          <w:rFonts w:hint="eastAsia"/>
          <w:color w:val="000000" w:themeColor="text1"/>
          <w:kern w:val="0"/>
          <w:sz w:val="18"/>
          <w:szCs w:val="18"/>
        </w:rPr>
        <w:t xml:space="preserve"> </w:t>
      </w:r>
      <w:r>
        <w:rPr>
          <w:color w:val="000000" w:themeColor="text1"/>
          <w:kern w:val="0"/>
          <w:sz w:val="18"/>
          <w:szCs w:val="18"/>
        </w:rPr>
        <w:t>S</w:t>
      </w:r>
      <w:r>
        <w:rPr>
          <w:rFonts w:hint="eastAsia"/>
          <w:color w:val="000000" w:themeColor="text1"/>
          <w:kern w:val="0"/>
          <w:sz w:val="18"/>
          <w:szCs w:val="18"/>
        </w:rPr>
        <w:t xml:space="preserve">. </w:t>
      </w:r>
      <w:r>
        <w:rPr>
          <w:color w:val="000000" w:themeColor="text1"/>
          <w:kern w:val="0"/>
          <w:sz w:val="18"/>
          <w:szCs w:val="18"/>
        </w:rPr>
        <w:t>Vendor-buyer inventory models with trade credit financing under both non-cooperative and integrated environments</w:t>
      </w:r>
      <w:r>
        <w:rPr>
          <w:rFonts w:hint="eastAsia"/>
          <w:color w:val="000000" w:themeColor="text1"/>
          <w:kern w:val="0"/>
          <w:sz w:val="18"/>
          <w:szCs w:val="18"/>
        </w:rPr>
        <w:t xml:space="preserve">[J]. </w:t>
      </w:r>
      <w:r>
        <w:rPr>
          <w:color w:val="000000" w:themeColor="text1"/>
          <w:kern w:val="0"/>
          <w:sz w:val="18"/>
          <w:szCs w:val="18"/>
        </w:rPr>
        <w:t>INTERNATIONAL JOURNAL OF SYSTEMS SCIENCE</w:t>
      </w:r>
      <w:r>
        <w:rPr>
          <w:rFonts w:hint="eastAsia"/>
          <w:color w:val="000000" w:themeColor="text1"/>
          <w:kern w:val="0"/>
          <w:sz w:val="18"/>
          <w:szCs w:val="18"/>
        </w:rPr>
        <w:t xml:space="preserve">, 2012, </w:t>
      </w:r>
      <w:r>
        <w:rPr>
          <w:color w:val="000000" w:themeColor="text1"/>
          <w:kern w:val="0"/>
          <w:sz w:val="18"/>
          <w:szCs w:val="18"/>
        </w:rPr>
        <w:t>43</w:t>
      </w:r>
      <w:r>
        <w:rPr>
          <w:rFonts w:hint="eastAsia"/>
          <w:color w:val="000000" w:themeColor="text1"/>
          <w:kern w:val="0"/>
          <w:sz w:val="18"/>
          <w:szCs w:val="18"/>
        </w:rPr>
        <w:t>(</w:t>
      </w:r>
      <w:r>
        <w:rPr>
          <w:color w:val="000000" w:themeColor="text1"/>
          <w:kern w:val="0"/>
          <w:sz w:val="18"/>
          <w:szCs w:val="18"/>
        </w:rPr>
        <w:t>11</w:t>
      </w:r>
      <w:r>
        <w:rPr>
          <w:rFonts w:hint="eastAsia"/>
          <w:color w:val="000000" w:themeColor="text1"/>
          <w:kern w:val="0"/>
          <w:sz w:val="18"/>
          <w:szCs w:val="18"/>
        </w:rPr>
        <w:t>)</w:t>
      </w:r>
      <w:r>
        <w:rPr>
          <w:color w:val="000000" w:themeColor="text1"/>
          <w:kern w:val="0"/>
          <w:sz w:val="18"/>
          <w:szCs w:val="18"/>
        </w:rPr>
        <w:t>: 2050-2061</w:t>
      </w:r>
      <w:r>
        <w:rPr>
          <w:rFonts w:hint="eastAsia"/>
          <w:color w:val="000000" w:themeColor="text1"/>
          <w:kern w:val="0"/>
          <w:sz w:val="18"/>
          <w:szCs w:val="18"/>
        </w:rPr>
        <w:t>.</w:t>
      </w:r>
      <w:r>
        <w:rPr>
          <w:color w:val="000000" w:themeColor="text1"/>
          <w:kern w:val="0"/>
          <w:sz w:val="18"/>
          <w:szCs w:val="18"/>
        </w:rPr>
        <w:t> </w:t>
      </w:r>
    </w:p>
    <w:p>
      <w:pPr>
        <w:autoSpaceDE w:val="0"/>
        <w:autoSpaceDN w:val="0"/>
        <w:adjustRightInd w:val="0"/>
        <w:ind w:left="359" w:leftChars="-1" w:hanging="361" w:hangingChars="201"/>
        <w:rPr>
          <w:color w:val="000000" w:themeColor="text1"/>
          <w:kern w:val="0"/>
          <w:sz w:val="18"/>
          <w:szCs w:val="18"/>
        </w:rPr>
      </w:pPr>
      <w:r>
        <w:rPr>
          <w:rFonts w:hint="eastAsia"/>
          <w:color w:val="000000" w:themeColor="text1"/>
          <w:kern w:val="0"/>
          <w:sz w:val="18"/>
          <w:szCs w:val="18"/>
        </w:rPr>
        <w:t>[5]</w:t>
      </w:r>
      <w:r>
        <w:rPr>
          <w:color w:val="000000" w:themeColor="text1"/>
          <w:kern w:val="0"/>
          <w:sz w:val="18"/>
          <w:szCs w:val="18"/>
        </w:rPr>
        <w:t>Teng J</w:t>
      </w:r>
      <w:r>
        <w:rPr>
          <w:rFonts w:hint="eastAsia"/>
          <w:color w:val="000000" w:themeColor="text1"/>
          <w:kern w:val="0"/>
          <w:sz w:val="18"/>
          <w:szCs w:val="18"/>
        </w:rPr>
        <w:t xml:space="preserve"> </w:t>
      </w:r>
      <w:r>
        <w:rPr>
          <w:color w:val="000000" w:themeColor="text1"/>
          <w:kern w:val="0"/>
          <w:sz w:val="18"/>
          <w:szCs w:val="18"/>
        </w:rPr>
        <w:t>T</w:t>
      </w:r>
      <w:r>
        <w:rPr>
          <w:rFonts w:hint="eastAsia"/>
          <w:color w:val="000000" w:themeColor="text1"/>
          <w:kern w:val="0"/>
          <w:sz w:val="18"/>
          <w:szCs w:val="18"/>
        </w:rPr>
        <w:t>,</w:t>
      </w:r>
      <w:r>
        <w:rPr>
          <w:color w:val="000000" w:themeColor="text1"/>
          <w:kern w:val="0"/>
          <w:sz w:val="18"/>
          <w:szCs w:val="18"/>
        </w:rPr>
        <w:t xml:space="preserve"> Min J</w:t>
      </w:r>
      <w:r>
        <w:rPr>
          <w:rFonts w:hint="eastAsia"/>
          <w:color w:val="000000" w:themeColor="text1"/>
          <w:kern w:val="0"/>
          <w:sz w:val="18"/>
          <w:szCs w:val="18"/>
        </w:rPr>
        <w:t>,</w:t>
      </w:r>
      <w:r>
        <w:rPr>
          <w:color w:val="000000" w:themeColor="text1"/>
          <w:kern w:val="0"/>
          <w:sz w:val="18"/>
          <w:szCs w:val="18"/>
        </w:rPr>
        <w:t xml:space="preserve"> Pan Q</w:t>
      </w:r>
      <w:r>
        <w:rPr>
          <w:rFonts w:hint="eastAsia"/>
          <w:color w:val="000000" w:themeColor="text1"/>
          <w:kern w:val="0"/>
          <w:sz w:val="18"/>
          <w:szCs w:val="18"/>
        </w:rPr>
        <w:t xml:space="preserve"> </w:t>
      </w:r>
      <w:r>
        <w:rPr>
          <w:color w:val="000000" w:themeColor="text1"/>
          <w:kern w:val="0"/>
          <w:sz w:val="18"/>
          <w:szCs w:val="18"/>
        </w:rPr>
        <w:t>H</w:t>
      </w:r>
      <w:r>
        <w:rPr>
          <w:rFonts w:hint="eastAsia"/>
          <w:color w:val="000000" w:themeColor="text1"/>
          <w:kern w:val="0"/>
          <w:sz w:val="18"/>
          <w:szCs w:val="18"/>
        </w:rPr>
        <w:t xml:space="preserve">. </w:t>
      </w:r>
      <w:r>
        <w:rPr>
          <w:color w:val="000000" w:themeColor="text1"/>
          <w:kern w:val="0"/>
          <w:sz w:val="18"/>
          <w:szCs w:val="18"/>
        </w:rPr>
        <w:t>Economic order quantity model with trade credit financing for non-decreasing demand</w:t>
      </w:r>
      <w:r>
        <w:rPr>
          <w:rFonts w:hint="eastAsia"/>
          <w:color w:val="000000" w:themeColor="text1"/>
          <w:kern w:val="0"/>
          <w:sz w:val="18"/>
          <w:szCs w:val="18"/>
        </w:rPr>
        <w:t xml:space="preserve"> [J]. </w:t>
      </w:r>
      <w:r>
        <w:rPr>
          <w:color w:val="000000" w:themeColor="text1"/>
          <w:kern w:val="0"/>
          <w:sz w:val="18"/>
          <w:szCs w:val="18"/>
        </w:rPr>
        <w:t>OMEGA</w:t>
      </w:r>
      <w:r>
        <w:rPr>
          <w:rFonts w:hint="eastAsia"/>
          <w:color w:val="000000" w:themeColor="text1"/>
          <w:kern w:val="0"/>
          <w:sz w:val="18"/>
          <w:szCs w:val="18"/>
        </w:rPr>
        <w:t>, 2012,</w:t>
      </w:r>
      <w:r>
        <w:rPr>
          <w:color w:val="000000" w:themeColor="text1"/>
          <w:kern w:val="0"/>
          <w:sz w:val="18"/>
          <w:szCs w:val="18"/>
        </w:rPr>
        <w:t> </w:t>
      </w:r>
      <w:r>
        <w:rPr>
          <w:rFonts w:hint="eastAsia"/>
          <w:color w:val="000000" w:themeColor="text1"/>
          <w:kern w:val="0"/>
          <w:sz w:val="18"/>
          <w:szCs w:val="18"/>
        </w:rPr>
        <w:t>40(3)</w:t>
      </w:r>
      <w:r>
        <w:rPr>
          <w:color w:val="000000" w:themeColor="text1"/>
          <w:kern w:val="0"/>
          <w:sz w:val="18"/>
          <w:szCs w:val="18"/>
        </w:rPr>
        <w:t>: 328-335</w:t>
      </w:r>
      <w:r>
        <w:rPr>
          <w:rFonts w:hint="eastAsia"/>
          <w:color w:val="000000" w:themeColor="text1"/>
          <w:kern w:val="0"/>
          <w:sz w:val="18"/>
          <w:szCs w:val="18"/>
        </w:rPr>
        <w:t>.</w:t>
      </w:r>
    </w:p>
    <w:p>
      <w:pPr>
        <w:autoSpaceDE w:val="0"/>
        <w:autoSpaceDN w:val="0"/>
        <w:adjustRightInd w:val="0"/>
        <w:ind w:left="359" w:leftChars="-1" w:hanging="361" w:hangingChars="201"/>
        <w:rPr>
          <w:color w:val="000000" w:themeColor="text1"/>
          <w:kern w:val="0"/>
          <w:sz w:val="18"/>
          <w:szCs w:val="18"/>
        </w:rPr>
      </w:pPr>
      <w:r>
        <w:rPr>
          <w:rFonts w:hint="eastAsia"/>
          <w:color w:val="000000" w:themeColor="text1"/>
          <w:kern w:val="0"/>
          <w:sz w:val="18"/>
          <w:szCs w:val="18"/>
        </w:rPr>
        <w:t>[6]</w:t>
      </w:r>
      <w:r>
        <w:rPr>
          <w:color w:val="000000" w:themeColor="text1"/>
          <w:kern w:val="0"/>
          <w:sz w:val="18"/>
          <w:szCs w:val="18"/>
        </w:rPr>
        <w:t>Ouyang L</w:t>
      </w:r>
      <w:r>
        <w:rPr>
          <w:rFonts w:hint="eastAsia"/>
          <w:color w:val="000000" w:themeColor="text1"/>
          <w:kern w:val="0"/>
          <w:sz w:val="18"/>
          <w:szCs w:val="18"/>
        </w:rPr>
        <w:t xml:space="preserve"> </w:t>
      </w:r>
      <w:r>
        <w:rPr>
          <w:color w:val="000000" w:themeColor="text1"/>
          <w:kern w:val="0"/>
          <w:sz w:val="18"/>
          <w:szCs w:val="18"/>
        </w:rPr>
        <w:t>Y</w:t>
      </w:r>
      <w:r>
        <w:rPr>
          <w:rFonts w:hint="eastAsia"/>
          <w:color w:val="000000" w:themeColor="text1"/>
          <w:kern w:val="0"/>
          <w:sz w:val="18"/>
          <w:szCs w:val="18"/>
        </w:rPr>
        <w:t>,</w:t>
      </w:r>
      <w:r>
        <w:rPr>
          <w:color w:val="000000" w:themeColor="text1"/>
          <w:kern w:val="0"/>
          <w:sz w:val="18"/>
          <w:szCs w:val="18"/>
        </w:rPr>
        <w:t xml:space="preserve"> Ho C</w:t>
      </w:r>
      <w:r>
        <w:rPr>
          <w:rFonts w:hint="eastAsia"/>
          <w:color w:val="000000" w:themeColor="text1"/>
          <w:kern w:val="0"/>
          <w:sz w:val="18"/>
          <w:szCs w:val="18"/>
        </w:rPr>
        <w:t xml:space="preserve"> </w:t>
      </w:r>
      <w:r>
        <w:rPr>
          <w:color w:val="000000" w:themeColor="text1"/>
          <w:kern w:val="0"/>
          <w:sz w:val="18"/>
          <w:szCs w:val="18"/>
        </w:rPr>
        <w:t>H</w:t>
      </w:r>
      <w:r>
        <w:rPr>
          <w:rFonts w:hint="eastAsia"/>
          <w:color w:val="000000" w:themeColor="text1"/>
          <w:kern w:val="0"/>
          <w:sz w:val="18"/>
          <w:szCs w:val="18"/>
        </w:rPr>
        <w:t>,</w:t>
      </w:r>
      <w:r>
        <w:rPr>
          <w:color w:val="000000" w:themeColor="text1"/>
          <w:kern w:val="0"/>
          <w:sz w:val="18"/>
          <w:szCs w:val="18"/>
        </w:rPr>
        <w:t xml:space="preserve"> Su C</w:t>
      </w:r>
      <w:r>
        <w:rPr>
          <w:rFonts w:hint="eastAsia"/>
          <w:color w:val="000000" w:themeColor="text1"/>
          <w:kern w:val="0"/>
          <w:sz w:val="18"/>
          <w:szCs w:val="18"/>
        </w:rPr>
        <w:t xml:space="preserve"> </w:t>
      </w:r>
      <w:r>
        <w:rPr>
          <w:color w:val="000000" w:themeColor="text1"/>
          <w:kern w:val="0"/>
          <w:sz w:val="18"/>
          <w:szCs w:val="18"/>
        </w:rPr>
        <w:t>H</w:t>
      </w:r>
      <w:r>
        <w:rPr>
          <w:rFonts w:hint="eastAsia"/>
          <w:color w:val="000000" w:themeColor="text1"/>
          <w:kern w:val="0"/>
          <w:sz w:val="18"/>
          <w:szCs w:val="18"/>
        </w:rPr>
        <w:t xml:space="preserve">. </w:t>
      </w:r>
      <w:r>
        <w:rPr>
          <w:color w:val="000000" w:themeColor="text1"/>
          <w:kern w:val="0"/>
          <w:sz w:val="18"/>
          <w:szCs w:val="18"/>
        </w:rPr>
        <w:t>An optimization approach for joint pricing and ordering problem in an integrated inventory system with order-size dependent trade credit</w:t>
      </w:r>
      <w:r>
        <w:rPr>
          <w:rFonts w:hint="eastAsia"/>
          <w:color w:val="000000" w:themeColor="text1"/>
          <w:kern w:val="0"/>
          <w:sz w:val="18"/>
          <w:szCs w:val="18"/>
        </w:rPr>
        <w:t xml:space="preserve"> [J]. </w:t>
      </w:r>
      <w:r>
        <w:rPr>
          <w:color w:val="000000" w:themeColor="text1"/>
          <w:kern w:val="0"/>
          <w:sz w:val="18"/>
          <w:szCs w:val="18"/>
        </w:rPr>
        <w:t>COMPUTERS &amp; INDUSTRIAL ENGINEERING</w:t>
      </w:r>
      <w:r>
        <w:rPr>
          <w:rFonts w:hint="eastAsia"/>
          <w:color w:val="000000" w:themeColor="text1"/>
          <w:kern w:val="0"/>
          <w:sz w:val="18"/>
          <w:szCs w:val="18"/>
        </w:rPr>
        <w:t>, 2009,</w:t>
      </w:r>
      <w:r>
        <w:rPr>
          <w:color w:val="000000" w:themeColor="text1"/>
          <w:kern w:val="0"/>
          <w:sz w:val="18"/>
          <w:szCs w:val="18"/>
        </w:rPr>
        <w:t> 57</w:t>
      </w:r>
      <w:r>
        <w:rPr>
          <w:rFonts w:hint="eastAsia"/>
          <w:color w:val="000000" w:themeColor="text1"/>
          <w:kern w:val="0"/>
          <w:sz w:val="18"/>
          <w:szCs w:val="18"/>
        </w:rPr>
        <w:t>(3)</w:t>
      </w:r>
      <w:r>
        <w:rPr>
          <w:color w:val="000000" w:themeColor="text1"/>
          <w:kern w:val="0"/>
          <w:sz w:val="18"/>
          <w:szCs w:val="18"/>
        </w:rPr>
        <w:t>: 920-930</w:t>
      </w:r>
      <w:r>
        <w:rPr>
          <w:rFonts w:hint="eastAsia"/>
          <w:color w:val="000000" w:themeColor="text1"/>
          <w:kern w:val="0"/>
          <w:sz w:val="18"/>
          <w:szCs w:val="18"/>
        </w:rPr>
        <w:t>.</w:t>
      </w:r>
    </w:p>
    <w:p>
      <w:pPr>
        <w:autoSpaceDE w:val="0"/>
        <w:autoSpaceDN w:val="0"/>
        <w:adjustRightInd w:val="0"/>
        <w:ind w:left="359" w:leftChars="-1" w:hanging="361" w:hangingChars="201"/>
        <w:rPr>
          <w:color w:val="000000" w:themeColor="text1"/>
          <w:kern w:val="0"/>
          <w:sz w:val="18"/>
          <w:szCs w:val="18"/>
        </w:rPr>
      </w:pPr>
      <w:r>
        <w:rPr>
          <w:rFonts w:hint="eastAsia"/>
          <w:color w:val="000000" w:themeColor="text1"/>
          <w:kern w:val="0"/>
          <w:sz w:val="18"/>
          <w:szCs w:val="18"/>
        </w:rPr>
        <w:t>[7]</w:t>
      </w:r>
      <w:r>
        <w:rPr>
          <w:color w:val="000000" w:themeColor="text1"/>
          <w:kern w:val="0"/>
          <w:sz w:val="18"/>
          <w:szCs w:val="18"/>
        </w:rPr>
        <w:t>Lou K</w:t>
      </w:r>
      <w:r>
        <w:rPr>
          <w:rFonts w:hint="eastAsia"/>
          <w:color w:val="000000" w:themeColor="text1"/>
          <w:kern w:val="0"/>
          <w:sz w:val="18"/>
          <w:szCs w:val="18"/>
        </w:rPr>
        <w:t xml:space="preserve"> </w:t>
      </w:r>
      <w:r>
        <w:rPr>
          <w:color w:val="000000" w:themeColor="text1"/>
          <w:kern w:val="0"/>
          <w:sz w:val="18"/>
          <w:szCs w:val="18"/>
        </w:rPr>
        <w:t>R</w:t>
      </w:r>
      <w:r>
        <w:rPr>
          <w:rFonts w:hint="eastAsia"/>
          <w:color w:val="000000" w:themeColor="text1"/>
          <w:kern w:val="0"/>
          <w:sz w:val="18"/>
          <w:szCs w:val="18"/>
        </w:rPr>
        <w:t>,</w:t>
      </w:r>
      <w:r>
        <w:rPr>
          <w:color w:val="000000" w:themeColor="text1"/>
          <w:kern w:val="0"/>
          <w:sz w:val="18"/>
          <w:szCs w:val="18"/>
        </w:rPr>
        <w:t xml:space="preserve"> Wang L</w:t>
      </w:r>
      <w:r>
        <w:rPr>
          <w:rFonts w:hint="eastAsia"/>
          <w:color w:val="000000" w:themeColor="text1"/>
          <w:kern w:val="0"/>
          <w:sz w:val="18"/>
          <w:szCs w:val="18"/>
        </w:rPr>
        <w:t xml:space="preserve">. </w:t>
      </w:r>
      <w:r>
        <w:rPr>
          <w:color w:val="000000" w:themeColor="text1"/>
          <w:kern w:val="0"/>
          <w:sz w:val="18"/>
          <w:szCs w:val="18"/>
        </w:rPr>
        <w:t>Optimal lot-sizing policy for a manufacturer with defective items in a supply chain with up-stream and down-stream trade credit</w:t>
      </w:r>
      <w:r>
        <w:rPr>
          <w:rFonts w:hint="eastAsia"/>
          <w:color w:val="000000" w:themeColor="text1"/>
          <w:kern w:val="0"/>
          <w:sz w:val="18"/>
          <w:szCs w:val="18"/>
        </w:rPr>
        <w:t xml:space="preserve"> [J]. </w:t>
      </w:r>
      <w:r>
        <w:rPr>
          <w:color w:val="000000" w:themeColor="text1"/>
          <w:kern w:val="0"/>
          <w:sz w:val="18"/>
          <w:szCs w:val="18"/>
        </w:rPr>
        <w:t>COMPUTERS &amp; INDUSTRIAL ENGINEERING</w:t>
      </w:r>
      <w:r>
        <w:rPr>
          <w:rFonts w:hint="eastAsia"/>
          <w:color w:val="000000" w:themeColor="text1"/>
          <w:kern w:val="0"/>
          <w:sz w:val="18"/>
          <w:szCs w:val="18"/>
        </w:rPr>
        <w:t xml:space="preserve">, 2013, </w:t>
      </w:r>
      <w:r>
        <w:rPr>
          <w:color w:val="000000" w:themeColor="text1"/>
          <w:kern w:val="0"/>
          <w:sz w:val="18"/>
          <w:szCs w:val="18"/>
        </w:rPr>
        <w:t>66</w:t>
      </w:r>
      <w:r>
        <w:rPr>
          <w:rFonts w:hint="eastAsia"/>
          <w:color w:val="000000" w:themeColor="text1"/>
          <w:kern w:val="0"/>
          <w:sz w:val="18"/>
          <w:szCs w:val="18"/>
        </w:rPr>
        <w:t>(</w:t>
      </w:r>
      <w:r>
        <w:rPr>
          <w:color w:val="000000" w:themeColor="text1"/>
          <w:kern w:val="0"/>
          <w:sz w:val="18"/>
          <w:szCs w:val="18"/>
        </w:rPr>
        <w:t>4</w:t>
      </w:r>
      <w:r>
        <w:rPr>
          <w:rFonts w:hint="eastAsia"/>
          <w:color w:val="000000" w:themeColor="text1"/>
          <w:kern w:val="0"/>
          <w:sz w:val="18"/>
          <w:szCs w:val="18"/>
        </w:rPr>
        <w:t>)</w:t>
      </w:r>
      <w:r>
        <w:rPr>
          <w:color w:val="000000" w:themeColor="text1"/>
          <w:kern w:val="0"/>
          <w:sz w:val="18"/>
          <w:szCs w:val="18"/>
        </w:rPr>
        <w:t>: 1125-1130</w:t>
      </w:r>
      <w:r>
        <w:rPr>
          <w:rFonts w:hint="eastAsia"/>
          <w:color w:val="000000" w:themeColor="text1"/>
          <w:kern w:val="0"/>
          <w:sz w:val="18"/>
          <w:szCs w:val="18"/>
        </w:rPr>
        <w:t>.</w:t>
      </w:r>
    </w:p>
    <w:p>
      <w:pPr>
        <w:autoSpaceDE w:val="0"/>
        <w:autoSpaceDN w:val="0"/>
        <w:adjustRightInd w:val="0"/>
        <w:ind w:left="359" w:leftChars="-1" w:hanging="361" w:hangingChars="201"/>
        <w:rPr>
          <w:color w:val="000000" w:themeColor="text1"/>
          <w:kern w:val="0"/>
          <w:sz w:val="18"/>
          <w:szCs w:val="18"/>
        </w:rPr>
      </w:pPr>
      <w:r>
        <w:rPr>
          <w:rFonts w:hint="eastAsia"/>
          <w:color w:val="000000" w:themeColor="text1"/>
          <w:kern w:val="0"/>
          <w:sz w:val="18"/>
          <w:szCs w:val="18"/>
        </w:rPr>
        <w:t>[8]</w:t>
      </w:r>
      <w:r>
        <w:rPr>
          <w:color w:val="000000" w:themeColor="text1"/>
          <w:kern w:val="0"/>
          <w:sz w:val="18"/>
          <w:szCs w:val="18"/>
        </w:rPr>
        <w:t>Lou K</w:t>
      </w:r>
      <w:r>
        <w:rPr>
          <w:rFonts w:hint="eastAsia"/>
          <w:color w:val="000000" w:themeColor="text1"/>
          <w:kern w:val="0"/>
          <w:sz w:val="18"/>
          <w:szCs w:val="18"/>
        </w:rPr>
        <w:t xml:space="preserve"> </w:t>
      </w:r>
      <w:r>
        <w:rPr>
          <w:color w:val="000000" w:themeColor="text1"/>
          <w:kern w:val="0"/>
          <w:sz w:val="18"/>
          <w:szCs w:val="18"/>
        </w:rPr>
        <w:t>R</w:t>
      </w:r>
      <w:r>
        <w:rPr>
          <w:rFonts w:hint="eastAsia"/>
          <w:color w:val="000000" w:themeColor="text1"/>
          <w:kern w:val="0"/>
          <w:sz w:val="18"/>
          <w:szCs w:val="18"/>
        </w:rPr>
        <w:t>,</w:t>
      </w:r>
      <w:r>
        <w:rPr>
          <w:color w:val="000000" w:themeColor="text1"/>
          <w:kern w:val="0"/>
          <w:sz w:val="18"/>
          <w:szCs w:val="18"/>
        </w:rPr>
        <w:t xml:space="preserve"> Wang W</w:t>
      </w:r>
      <w:r>
        <w:rPr>
          <w:rFonts w:hint="eastAsia"/>
          <w:color w:val="000000" w:themeColor="text1"/>
          <w:kern w:val="0"/>
          <w:sz w:val="18"/>
          <w:szCs w:val="18"/>
        </w:rPr>
        <w:t xml:space="preserve"> </w:t>
      </w:r>
      <w:r>
        <w:rPr>
          <w:color w:val="000000" w:themeColor="text1"/>
          <w:kern w:val="0"/>
          <w:sz w:val="18"/>
          <w:szCs w:val="18"/>
        </w:rPr>
        <w:t>C</w:t>
      </w:r>
      <w:r>
        <w:rPr>
          <w:rFonts w:hint="eastAsia"/>
          <w:color w:val="000000" w:themeColor="text1"/>
          <w:kern w:val="0"/>
          <w:sz w:val="18"/>
          <w:szCs w:val="18"/>
        </w:rPr>
        <w:t xml:space="preserve">. </w:t>
      </w:r>
      <w:r>
        <w:rPr>
          <w:color w:val="000000" w:themeColor="text1"/>
          <w:kern w:val="0"/>
          <w:sz w:val="18"/>
          <w:szCs w:val="18"/>
        </w:rPr>
        <w:t>A comprehensive extension of an integrated inventory model with ordering cost reduction and permissible, delay in payments</w:t>
      </w:r>
      <w:r>
        <w:rPr>
          <w:rFonts w:hint="eastAsia"/>
          <w:color w:val="000000" w:themeColor="text1"/>
          <w:kern w:val="0"/>
          <w:sz w:val="18"/>
          <w:szCs w:val="18"/>
        </w:rPr>
        <w:t xml:space="preserve"> [J]. </w:t>
      </w:r>
      <w:r>
        <w:rPr>
          <w:color w:val="000000" w:themeColor="text1"/>
          <w:kern w:val="0"/>
          <w:sz w:val="18"/>
          <w:szCs w:val="18"/>
        </w:rPr>
        <w:t>APPLIED MATHEMATICAL MODELLING</w:t>
      </w:r>
      <w:r>
        <w:rPr>
          <w:rFonts w:hint="eastAsia"/>
          <w:color w:val="000000" w:themeColor="text1"/>
          <w:kern w:val="0"/>
          <w:sz w:val="18"/>
          <w:szCs w:val="18"/>
        </w:rPr>
        <w:t>, 2013,</w:t>
      </w:r>
      <w:r>
        <w:rPr>
          <w:color w:val="000000" w:themeColor="text1"/>
          <w:kern w:val="0"/>
          <w:sz w:val="18"/>
          <w:szCs w:val="18"/>
        </w:rPr>
        <w:t> 37</w:t>
      </w:r>
      <w:r>
        <w:rPr>
          <w:rFonts w:hint="eastAsia"/>
          <w:color w:val="000000" w:themeColor="text1"/>
          <w:kern w:val="0"/>
          <w:sz w:val="18"/>
          <w:szCs w:val="18"/>
        </w:rPr>
        <w:t>(</w:t>
      </w:r>
      <w:r>
        <w:rPr>
          <w:color w:val="000000" w:themeColor="text1"/>
          <w:kern w:val="0"/>
          <w:sz w:val="18"/>
          <w:szCs w:val="18"/>
        </w:rPr>
        <w:t>7</w:t>
      </w:r>
      <w:r>
        <w:rPr>
          <w:rFonts w:hint="eastAsia"/>
          <w:color w:val="000000" w:themeColor="text1"/>
          <w:kern w:val="0"/>
          <w:sz w:val="18"/>
          <w:szCs w:val="18"/>
        </w:rPr>
        <w:t>)</w:t>
      </w:r>
      <w:r>
        <w:rPr>
          <w:color w:val="000000" w:themeColor="text1"/>
          <w:kern w:val="0"/>
          <w:sz w:val="18"/>
          <w:szCs w:val="18"/>
        </w:rPr>
        <w:t>: 4709-4716</w:t>
      </w:r>
      <w:r>
        <w:rPr>
          <w:rFonts w:hint="eastAsia"/>
          <w:color w:val="000000" w:themeColor="text1"/>
          <w:kern w:val="0"/>
          <w:sz w:val="18"/>
          <w:szCs w:val="18"/>
        </w:rPr>
        <w:t>.</w:t>
      </w:r>
    </w:p>
    <w:p>
      <w:pPr>
        <w:autoSpaceDE w:val="0"/>
        <w:autoSpaceDN w:val="0"/>
        <w:adjustRightInd w:val="0"/>
        <w:ind w:left="359" w:leftChars="-1" w:hanging="361" w:hangingChars="201"/>
        <w:rPr>
          <w:color w:val="000000" w:themeColor="text1"/>
          <w:kern w:val="0"/>
          <w:sz w:val="18"/>
          <w:szCs w:val="18"/>
        </w:rPr>
      </w:pPr>
      <w:r>
        <w:rPr>
          <w:rFonts w:hint="eastAsia"/>
          <w:color w:val="000000" w:themeColor="text1"/>
          <w:kern w:val="0"/>
          <w:sz w:val="18"/>
          <w:szCs w:val="18"/>
        </w:rPr>
        <w:t>[9]王文利, 骆建文, 李彬. 需求依赖价格下的供应链预付款融资策略[J]. 系统管理学报, 2014, 23(5): 642-649.</w:t>
      </w:r>
    </w:p>
    <w:p>
      <w:pPr>
        <w:autoSpaceDE w:val="0"/>
        <w:autoSpaceDN w:val="0"/>
        <w:adjustRightInd w:val="0"/>
        <w:ind w:left="359" w:leftChars="-1" w:hanging="361" w:hangingChars="201"/>
        <w:rPr>
          <w:color w:val="000000" w:themeColor="text1"/>
          <w:kern w:val="0"/>
          <w:sz w:val="18"/>
          <w:szCs w:val="18"/>
        </w:rPr>
      </w:pPr>
      <w:r>
        <w:rPr>
          <w:rFonts w:hint="eastAsia"/>
          <w:color w:val="000000" w:themeColor="text1"/>
          <w:kern w:val="0"/>
          <w:sz w:val="18"/>
          <w:szCs w:val="18"/>
        </w:rPr>
        <w:t>[10]Thangam A. Optimal price discounting and lot-sizing polities for perishable items in a supply chain under advance payment scheme and two-echelon trade credits [J]. International Journal of Production Economics, 2012, 139(2): 459-472.</w:t>
      </w:r>
    </w:p>
    <w:p>
      <w:pPr>
        <w:spacing w:line="360" w:lineRule="atLeast"/>
        <w:rPr>
          <w:b/>
          <w:color w:val="000000" w:themeColor="text1"/>
          <w:szCs w:val="21"/>
        </w:rPr>
      </w:pPr>
      <w:r>
        <w:rPr>
          <w:b/>
          <w:color w:val="000000" w:themeColor="text1"/>
          <w:szCs w:val="21"/>
        </w:rPr>
        <w:t>……</w:t>
      </w:r>
    </w:p>
    <w:p>
      <w:pPr>
        <w:spacing w:line="360" w:lineRule="exact"/>
        <w:rPr>
          <w:color w:val="000000" w:themeColor="text1"/>
        </w:rPr>
      </w:pPr>
    </w:p>
    <w:sectPr>
      <w:headerReference r:id="rId5" w:type="default"/>
      <w:footerReference r:id="rId6" w:type="default"/>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Garamond">
    <w:panose1 w:val="02020502050306020203"/>
    <w:charset w:val="00"/>
    <w:family w:val="roman"/>
    <w:pitch w:val="default"/>
    <w:sig w:usb0="00000000" w:usb1="00000000" w:usb2="00000000" w:usb3="00000000" w:csb0="00000093"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Arial Unicode MS"/>
    <w:panose1 w:val="00000000000000000000"/>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仿宋_GB2312" w:eastAsia="仿宋_GB2312"/>
      </w:rPr>
    </w:pPr>
    <w:r>
      <w:rPr>
        <w:rFonts w:hint="eastAsia" w:ascii="仿宋_GB2312" w:eastAsia="仿宋_GB2312"/>
      </w:rPr>
      <w:t>论文题目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A1C8B"/>
    <w:rsid w:val="0001371E"/>
    <w:rsid w:val="00013CBF"/>
    <w:rsid w:val="00023C3A"/>
    <w:rsid w:val="0002431B"/>
    <w:rsid w:val="00025E17"/>
    <w:rsid w:val="000353C7"/>
    <w:rsid w:val="0003675A"/>
    <w:rsid w:val="0004263E"/>
    <w:rsid w:val="000564EB"/>
    <w:rsid w:val="00060F70"/>
    <w:rsid w:val="0007556B"/>
    <w:rsid w:val="000955BC"/>
    <w:rsid w:val="000A17EA"/>
    <w:rsid w:val="000A1CC8"/>
    <w:rsid w:val="000A2B46"/>
    <w:rsid w:val="000B4B6C"/>
    <w:rsid w:val="000B56D9"/>
    <w:rsid w:val="000E4A39"/>
    <w:rsid w:val="000F2E89"/>
    <w:rsid w:val="000F4B76"/>
    <w:rsid w:val="000F5A76"/>
    <w:rsid w:val="00113014"/>
    <w:rsid w:val="00113959"/>
    <w:rsid w:val="00121585"/>
    <w:rsid w:val="00130DA6"/>
    <w:rsid w:val="00157389"/>
    <w:rsid w:val="00162212"/>
    <w:rsid w:val="00171BE9"/>
    <w:rsid w:val="0017361B"/>
    <w:rsid w:val="001945BB"/>
    <w:rsid w:val="001A0C5B"/>
    <w:rsid w:val="001A1C8B"/>
    <w:rsid w:val="001A1FC1"/>
    <w:rsid w:val="001B4553"/>
    <w:rsid w:val="001C03D1"/>
    <w:rsid w:val="001C158B"/>
    <w:rsid w:val="001D37FB"/>
    <w:rsid w:val="001E1126"/>
    <w:rsid w:val="001F0D12"/>
    <w:rsid w:val="001F1705"/>
    <w:rsid w:val="001F4FF3"/>
    <w:rsid w:val="00230763"/>
    <w:rsid w:val="0025495F"/>
    <w:rsid w:val="00273098"/>
    <w:rsid w:val="00284945"/>
    <w:rsid w:val="002860AB"/>
    <w:rsid w:val="002A2A27"/>
    <w:rsid w:val="002B6529"/>
    <w:rsid w:val="002D2DA6"/>
    <w:rsid w:val="002D6F71"/>
    <w:rsid w:val="002E1255"/>
    <w:rsid w:val="002F0FF5"/>
    <w:rsid w:val="002F7694"/>
    <w:rsid w:val="0031235F"/>
    <w:rsid w:val="00316FE3"/>
    <w:rsid w:val="0032091B"/>
    <w:rsid w:val="0032275A"/>
    <w:rsid w:val="0032392B"/>
    <w:rsid w:val="00340F7E"/>
    <w:rsid w:val="003524A2"/>
    <w:rsid w:val="003647BF"/>
    <w:rsid w:val="003678A7"/>
    <w:rsid w:val="003730C5"/>
    <w:rsid w:val="003B5EF0"/>
    <w:rsid w:val="003C7FC9"/>
    <w:rsid w:val="003D7BF9"/>
    <w:rsid w:val="003E71CD"/>
    <w:rsid w:val="00400928"/>
    <w:rsid w:val="004135CD"/>
    <w:rsid w:val="00415293"/>
    <w:rsid w:val="0044086A"/>
    <w:rsid w:val="00463564"/>
    <w:rsid w:val="004669D8"/>
    <w:rsid w:val="004724C3"/>
    <w:rsid w:val="004813D8"/>
    <w:rsid w:val="00492D7D"/>
    <w:rsid w:val="004A3F63"/>
    <w:rsid w:val="004B09C9"/>
    <w:rsid w:val="004E7EF6"/>
    <w:rsid w:val="004F7323"/>
    <w:rsid w:val="004F7802"/>
    <w:rsid w:val="00500081"/>
    <w:rsid w:val="0051684B"/>
    <w:rsid w:val="00524013"/>
    <w:rsid w:val="00530B0A"/>
    <w:rsid w:val="005331BE"/>
    <w:rsid w:val="0055173B"/>
    <w:rsid w:val="00577623"/>
    <w:rsid w:val="005B4992"/>
    <w:rsid w:val="005B5BEE"/>
    <w:rsid w:val="005E0263"/>
    <w:rsid w:val="00603860"/>
    <w:rsid w:val="00633B39"/>
    <w:rsid w:val="0063559D"/>
    <w:rsid w:val="006402AD"/>
    <w:rsid w:val="006437C9"/>
    <w:rsid w:val="00651D77"/>
    <w:rsid w:val="006631DD"/>
    <w:rsid w:val="00667DCB"/>
    <w:rsid w:val="00685C21"/>
    <w:rsid w:val="00687226"/>
    <w:rsid w:val="00687CF4"/>
    <w:rsid w:val="00690F7B"/>
    <w:rsid w:val="006A2175"/>
    <w:rsid w:val="006A59DC"/>
    <w:rsid w:val="006B17BF"/>
    <w:rsid w:val="006B4DD7"/>
    <w:rsid w:val="006C0017"/>
    <w:rsid w:val="006D0BA2"/>
    <w:rsid w:val="006E2DC3"/>
    <w:rsid w:val="0071192C"/>
    <w:rsid w:val="00721639"/>
    <w:rsid w:val="00727CC4"/>
    <w:rsid w:val="007525FF"/>
    <w:rsid w:val="0076310A"/>
    <w:rsid w:val="007831D5"/>
    <w:rsid w:val="00796B84"/>
    <w:rsid w:val="007A11DA"/>
    <w:rsid w:val="007B7CCB"/>
    <w:rsid w:val="007C4FD4"/>
    <w:rsid w:val="007F0C90"/>
    <w:rsid w:val="008049DD"/>
    <w:rsid w:val="00855DEF"/>
    <w:rsid w:val="00877783"/>
    <w:rsid w:val="00877D3C"/>
    <w:rsid w:val="008804FC"/>
    <w:rsid w:val="008A4CA3"/>
    <w:rsid w:val="008B2578"/>
    <w:rsid w:val="008B7A30"/>
    <w:rsid w:val="008E014C"/>
    <w:rsid w:val="008E4C9C"/>
    <w:rsid w:val="00900307"/>
    <w:rsid w:val="0090490A"/>
    <w:rsid w:val="00915AF9"/>
    <w:rsid w:val="00924721"/>
    <w:rsid w:val="009545CB"/>
    <w:rsid w:val="00976893"/>
    <w:rsid w:val="0099364F"/>
    <w:rsid w:val="009939ED"/>
    <w:rsid w:val="00993F30"/>
    <w:rsid w:val="00995A9A"/>
    <w:rsid w:val="0099790E"/>
    <w:rsid w:val="009A01DE"/>
    <w:rsid w:val="009B2101"/>
    <w:rsid w:val="009E08B4"/>
    <w:rsid w:val="009F27CC"/>
    <w:rsid w:val="00A06334"/>
    <w:rsid w:val="00A2165D"/>
    <w:rsid w:val="00A51C84"/>
    <w:rsid w:val="00A65294"/>
    <w:rsid w:val="00A824F9"/>
    <w:rsid w:val="00AA15A8"/>
    <w:rsid w:val="00AB624E"/>
    <w:rsid w:val="00AE244B"/>
    <w:rsid w:val="00AF786A"/>
    <w:rsid w:val="00B068BA"/>
    <w:rsid w:val="00B37841"/>
    <w:rsid w:val="00B43778"/>
    <w:rsid w:val="00B45195"/>
    <w:rsid w:val="00B4693E"/>
    <w:rsid w:val="00B61634"/>
    <w:rsid w:val="00B6381D"/>
    <w:rsid w:val="00B70A93"/>
    <w:rsid w:val="00B96490"/>
    <w:rsid w:val="00BA0B56"/>
    <w:rsid w:val="00BC073D"/>
    <w:rsid w:val="00BC5876"/>
    <w:rsid w:val="00BE2F5B"/>
    <w:rsid w:val="00BE4172"/>
    <w:rsid w:val="00BF2610"/>
    <w:rsid w:val="00C2304C"/>
    <w:rsid w:val="00C256A6"/>
    <w:rsid w:val="00C3530B"/>
    <w:rsid w:val="00C41900"/>
    <w:rsid w:val="00C5004B"/>
    <w:rsid w:val="00C56371"/>
    <w:rsid w:val="00C61F39"/>
    <w:rsid w:val="00C64547"/>
    <w:rsid w:val="00C70BF6"/>
    <w:rsid w:val="00C83ACF"/>
    <w:rsid w:val="00C909D2"/>
    <w:rsid w:val="00CA0ECB"/>
    <w:rsid w:val="00CD3978"/>
    <w:rsid w:val="00CF0B09"/>
    <w:rsid w:val="00CF4757"/>
    <w:rsid w:val="00D00FA7"/>
    <w:rsid w:val="00D1257B"/>
    <w:rsid w:val="00D14B07"/>
    <w:rsid w:val="00D32D2D"/>
    <w:rsid w:val="00D344C8"/>
    <w:rsid w:val="00D4207F"/>
    <w:rsid w:val="00D53120"/>
    <w:rsid w:val="00D55D48"/>
    <w:rsid w:val="00D734B0"/>
    <w:rsid w:val="00D90B97"/>
    <w:rsid w:val="00DB2295"/>
    <w:rsid w:val="00DB4C47"/>
    <w:rsid w:val="00DC0EED"/>
    <w:rsid w:val="00DD1EB8"/>
    <w:rsid w:val="00DD59C1"/>
    <w:rsid w:val="00DF3DBD"/>
    <w:rsid w:val="00E16251"/>
    <w:rsid w:val="00E25627"/>
    <w:rsid w:val="00E2680B"/>
    <w:rsid w:val="00E35BC8"/>
    <w:rsid w:val="00E46D16"/>
    <w:rsid w:val="00E47291"/>
    <w:rsid w:val="00E50BED"/>
    <w:rsid w:val="00E53DFF"/>
    <w:rsid w:val="00E56D2D"/>
    <w:rsid w:val="00E91DEA"/>
    <w:rsid w:val="00EA28A2"/>
    <w:rsid w:val="00EB32F8"/>
    <w:rsid w:val="00EB42ED"/>
    <w:rsid w:val="00ED40FF"/>
    <w:rsid w:val="00ED7F71"/>
    <w:rsid w:val="00EE707D"/>
    <w:rsid w:val="00F10BC2"/>
    <w:rsid w:val="00F335E6"/>
    <w:rsid w:val="00F43A94"/>
    <w:rsid w:val="00F450A6"/>
    <w:rsid w:val="00F45402"/>
    <w:rsid w:val="00F54BF4"/>
    <w:rsid w:val="00F70DAF"/>
    <w:rsid w:val="00F80F7A"/>
    <w:rsid w:val="00F84D49"/>
    <w:rsid w:val="00FD6734"/>
    <w:rsid w:val="00FE40D7"/>
    <w:rsid w:val="00FE7645"/>
    <w:rsid w:val="00FF175C"/>
    <w:rsid w:val="00FF1F84"/>
    <w:rsid w:val="63FA2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widowControl/>
      <w:spacing w:beforeLines="50"/>
      <w:jc w:val="left"/>
      <w:outlineLvl w:val="0"/>
    </w:pPr>
    <w:rPr>
      <w:rFonts w:ascii="Garamond" w:hAnsi="Garamond" w:eastAsia="黑体"/>
      <w:caps/>
      <w:spacing w:val="14"/>
      <w:kern w:val="20"/>
      <w:sz w:val="36"/>
      <w:szCs w:val="20"/>
      <w:lang w:bidi="he-IL"/>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Document Map"/>
    <w:basedOn w:val="1"/>
    <w:link w:val="14"/>
    <w:uiPriority w:val="0"/>
    <w:pPr>
      <w:shd w:val="clear" w:color="auto" w:fill="000080"/>
    </w:pPr>
  </w:style>
  <w:style w:type="paragraph" w:styleId="5">
    <w:name w:val="Balloon Text"/>
    <w:basedOn w:val="1"/>
    <w:link w:val="15"/>
    <w:uiPriority w:val="0"/>
    <w:rPr>
      <w:sz w:val="18"/>
      <w:szCs w:val="18"/>
    </w:rPr>
  </w:style>
  <w:style w:type="paragraph" w:styleId="6">
    <w:name w:val="footer"/>
    <w:basedOn w:val="1"/>
    <w:link w:val="13"/>
    <w:uiPriority w:val="99"/>
    <w:pPr>
      <w:tabs>
        <w:tab w:val="center" w:pos="4153"/>
        <w:tab w:val="right" w:pos="8306"/>
      </w:tabs>
      <w:snapToGrid w:val="0"/>
      <w:jc w:val="left"/>
    </w:pPr>
    <w:rPr>
      <w:sz w:val="18"/>
      <w:szCs w:val="18"/>
    </w:rPr>
  </w:style>
  <w:style w:type="paragraph" w:styleId="7">
    <w:name w:val="header"/>
    <w:basedOn w:val="1"/>
    <w:link w:val="12"/>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color w:val="000000"/>
      <w:kern w:val="0"/>
      <w:sz w:val="24"/>
    </w:rPr>
  </w:style>
  <w:style w:type="paragraph" w:customStyle="1" w:styleId="11">
    <w:name w:val="样式 (西文) 宋体 小四 首行缩进:  0.72 厘米 行距: 固定值 20 磅"/>
    <w:basedOn w:val="1"/>
    <w:uiPriority w:val="0"/>
    <w:pPr>
      <w:widowControl/>
      <w:spacing w:line="400" w:lineRule="exact"/>
      <w:ind w:firstLine="409"/>
      <w:jc w:val="left"/>
    </w:pPr>
    <w:rPr>
      <w:rFonts w:ascii="宋体" w:hAnsi="宋体" w:cs="宋体"/>
      <w:kern w:val="0"/>
      <w:sz w:val="24"/>
      <w:szCs w:val="20"/>
      <w:lang w:bidi="he-IL"/>
    </w:rPr>
  </w:style>
  <w:style w:type="character" w:customStyle="1" w:styleId="12">
    <w:name w:val="页眉 Char"/>
    <w:link w:val="7"/>
    <w:uiPriority w:val="99"/>
    <w:rPr>
      <w:kern w:val="2"/>
      <w:sz w:val="18"/>
      <w:szCs w:val="18"/>
    </w:rPr>
  </w:style>
  <w:style w:type="character" w:customStyle="1" w:styleId="13">
    <w:name w:val="页脚 Char"/>
    <w:link w:val="6"/>
    <w:uiPriority w:val="99"/>
    <w:rPr>
      <w:kern w:val="2"/>
      <w:sz w:val="18"/>
      <w:szCs w:val="18"/>
    </w:rPr>
  </w:style>
  <w:style w:type="character" w:customStyle="1" w:styleId="14">
    <w:name w:val="文档结构图 Char"/>
    <w:link w:val="4"/>
    <w:uiPriority w:val="0"/>
    <w:rPr>
      <w:kern w:val="2"/>
      <w:sz w:val="21"/>
      <w:szCs w:val="24"/>
      <w:shd w:val="clear" w:color="auto" w:fill="000080"/>
    </w:rPr>
  </w:style>
  <w:style w:type="character" w:customStyle="1" w:styleId="15">
    <w:name w:val="批注框文本 Char"/>
    <w:basedOn w:val="10"/>
    <w:link w:val="5"/>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7" Type="http://schemas.openxmlformats.org/officeDocument/2006/relationships/fontTable" Target="fontTable.xml"/><Relationship Id="rId56" Type="http://schemas.openxmlformats.org/officeDocument/2006/relationships/customXml" Target="../customXml/item2.xml"/><Relationship Id="rId55" Type="http://schemas.openxmlformats.org/officeDocument/2006/relationships/customXml" Target="../customXml/item1.xml"/><Relationship Id="rId54" Type="http://schemas.openxmlformats.org/officeDocument/2006/relationships/chart" Target="charts/chart2.xml"/><Relationship Id="rId53" Type="http://schemas.openxmlformats.org/officeDocument/2006/relationships/chart" Target="charts/chart1.xml"/><Relationship Id="rId52" Type="http://schemas.openxmlformats.org/officeDocument/2006/relationships/image" Target="media/image22.wmf"/><Relationship Id="rId51" Type="http://schemas.openxmlformats.org/officeDocument/2006/relationships/oleObject" Target="embeddings/oleObject23.bin"/><Relationship Id="rId50" Type="http://schemas.openxmlformats.org/officeDocument/2006/relationships/image" Target="media/image21.wmf"/><Relationship Id="rId5" Type="http://schemas.openxmlformats.org/officeDocument/2006/relationships/header" Target="header2.xml"/><Relationship Id="rId49" Type="http://schemas.openxmlformats.org/officeDocument/2006/relationships/oleObject" Target="embeddings/oleObject22.bin"/><Relationship Id="rId48" Type="http://schemas.openxmlformats.org/officeDocument/2006/relationships/image" Target="media/image20.wmf"/><Relationship Id="rId47" Type="http://schemas.openxmlformats.org/officeDocument/2006/relationships/oleObject" Target="embeddings/oleObject21.bin"/><Relationship Id="rId46" Type="http://schemas.openxmlformats.org/officeDocument/2006/relationships/image" Target="media/image19.wmf"/><Relationship Id="rId45" Type="http://schemas.openxmlformats.org/officeDocument/2006/relationships/oleObject" Target="embeddings/oleObject20.bin"/><Relationship Id="rId44" Type="http://schemas.openxmlformats.org/officeDocument/2006/relationships/image" Target="media/image18.wmf"/><Relationship Id="rId43" Type="http://schemas.openxmlformats.org/officeDocument/2006/relationships/oleObject" Target="embeddings/oleObject19.bin"/><Relationship Id="rId42" Type="http://schemas.openxmlformats.org/officeDocument/2006/relationships/oleObject" Target="embeddings/oleObject18.bin"/><Relationship Id="rId41" Type="http://schemas.openxmlformats.org/officeDocument/2006/relationships/image" Target="media/image17.wmf"/><Relationship Id="rId40" Type="http://schemas.openxmlformats.org/officeDocument/2006/relationships/oleObject" Target="embeddings/oleObject17.bin"/><Relationship Id="rId4" Type="http://schemas.openxmlformats.org/officeDocument/2006/relationships/footer" Target="footer1.xml"/><Relationship Id="rId39" Type="http://schemas.openxmlformats.org/officeDocument/2006/relationships/image" Target="media/image16.wmf"/><Relationship Id="rId38" Type="http://schemas.openxmlformats.org/officeDocument/2006/relationships/oleObject" Target="embeddings/oleObject16.bin"/><Relationship Id="rId37" Type="http://schemas.openxmlformats.org/officeDocument/2006/relationships/image" Target="media/image15.wmf"/><Relationship Id="rId36" Type="http://schemas.openxmlformats.org/officeDocument/2006/relationships/oleObject" Target="embeddings/oleObject15.bin"/><Relationship Id="rId35" Type="http://schemas.openxmlformats.org/officeDocument/2006/relationships/image" Target="media/image14.wmf"/><Relationship Id="rId34" Type="http://schemas.openxmlformats.org/officeDocument/2006/relationships/oleObject" Target="embeddings/oleObject14.bin"/><Relationship Id="rId33" Type="http://schemas.openxmlformats.org/officeDocument/2006/relationships/image" Target="media/image13.wmf"/><Relationship Id="rId32" Type="http://schemas.openxmlformats.org/officeDocument/2006/relationships/oleObject" Target="embeddings/oleObject13.bin"/><Relationship Id="rId31" Type="http://schemas.openxmlformats.org/officeDocument/2006/relationships/image" Target="media/image12.wmf"/><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1.bin"/><Relationship Id="rId27" Type="http://schemas.openxmlformats.org/officeDocument/2006/relationships/image" Target="media/image10.wmf"/><Relationship Id="rId26" Type="http://schemas.openxmlformats.org/officeDocument/2006/relationships/oleObject" Target="embeddings/oleObject10.bin"/><Relationship Id="rId25" Type="http://schemas.openxmlformats.org/officeDocument/2006/relationships/image" Target="media/image9.wmf"/><Relationship Id="rId24" Type="http://schemas.openxmlformats.org/officeDocument/2006/relationships/oleObject" Target="embeddings/oleObject9.bin"/><Relationship Id="rId23" Type="http://schemas.openxmlformats.org/officeDocument/2006/relationships/image" Target="media/image8.wmf"/><Relationship Id="rId22" Type="http://schemas.openxmlformats.org/officeDocument/2006/relationships/oleObject" Target="embeddings/oleObject8.bin"/><Relationship Id="rId21" Type="http://schemas.openxmlformats.org/officeDocument/2006/relationships/image" Target="media/image7.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44186046511628"/>
          <c:y val="0.046242774566474"/>
          <c:w val="0.906976744186046"/>
          <c:h val="0.722543352601156"/>
        </c:manualLayout>
      </c:layout>
      <c:scatterChart>
        <c:scatterStyle val="smoothMarker"/>
        <c:varyColors val="0"/>
        <c:ser>
          <c:idx val="0"/>
          <c:order val="0"/>
          <c:tx>
            <c:strRef>
              <c:f>Sheet1!$I$1</c:f>
              <c:strCache>
                <c:ptCount val="1"/>
                <c:pt idx="0">
                  <c:v>qs0/qr0</c:v>
                </c:pt>
              </c:strCache>
            </c:strRef>
          </c:tx>
          <c:spPr>
            <a:ln w="3171" cap="rnd" cmpd="sng" algn="ctr">
              <a:solidFill>
                <a:srgbClr val="000000"/>
              </a:solidFill>
              <a:prstDash val="solid"/>
              <a:round/>
            </a:ln>
          </c:spPr>
          <c:marker>
            <c:symbol val="none"/>
          </c:marker>
          <c:dLbls>
            <c:delete val="1"/>
          </c:dLbls>
          <c:xVal>
            <c:numRef>
              <c:f>Sheet1!$A$2:$A$17</c:f>
              <c:numCache>
                <c:formatCode>General</c:formatCode>
                <c:ptCount val="16"/>
                <c:pt idx="0">
                  <c:v>0.5</c:v>
                </c:pt>
                <c:pt idx="1">
                  <c:v>0.6</c:v>
                </c:pt>
                <c:pt idx="2">
                  <c:v>0.7</c:v>
                </c:pt>
                <c:pt idx="3">
                  <c:v>0.8</c:v>
                </c:pt>
                <c:pt idx="4">
                  <c:v>0.9</c:v>
                </c:pt>
                <c:pt idx="5">
                  <c:v>1</c:v>
                </c:pt>
                <c:pt idx="6">
                  <c:v>1.1</c:v>
                </c:pt>
                <c:pt idx="7">
                  <c:v>1.2</c:v>
                </c:pt>
                <c:pt idx="8">
                  <c:v>1.3</c:v>
                </c:pt>
                <c:pt idx="9">
                  <c:v>1.4</c:v>
                </c:pt>
                <c:pt idx="10">
                  <c:v>1.5</c:v>
                </c:pt>
                <c:pt idx="11">
                  <c:v>1.6</c:v>
                </c:pt>
                <c:pt idx="12">
                  <c:v>1.7</c:v>
                </c:pt>
                <c:pt idx="13">
                  <c:v>1.8</c:v>
                </c:pt>
                <c:pt idx="14">
                  <c:v>1.9</c:v>
                </c:pt>
                <c:pt idx="15">
                  <c:v>2</c:v>
                </c:pt>
              </c:numCache>
            </c:numRef>
          </c:xVal>
          <c:yVal>
            <c:numRef>
              <c:f>Sheet1!$I$2:$I$17</c:f>
              <c:numCache>
                <c:formatCode>General</c:formatCode>
                <c:ptCount val="16"/>
                <c:pt idx="0">
                  <c:v>0.866943866943867</c:v>
                </c:pt>
                <c:pt idx="1">
                  <c:v>0.78960396039604</c:v>
                </c:pt>
                <c:pt idx="2">
                  <c:v>0.732142857142857</c:v>
                </c:pt>
                <c:pt idx="3">
                  <c:v>0.683823529411765</c:v>
                </c:pt>
                <c:pt idx="4">
                  <c:v>0.645510835913313</c:v>
                </c:pt>
                <c:pt idx="5">
                  <c:v>0.612540192926045</c:v>
                </c:pt>
                <c:pt idx="6">
                  <c:v>0.584437086092715</c:v>
                </c:pt>
                <c:pt idx="7">
                  <c:v>0.559322033898305</c:v>
                </c:pt>
                <c:pt idx="8">
                  <c:v>0.536332179930795</c:v>
                </c:pt>
                <c:pt idx="9">
                  <c:v>0.517605633802817</c:v>
                </c:pt>
                <c:pt idx="10">
                  <c:v>0.5</c:v>
                </c:pt>
                <c:pt idx="11">
                  <c:v>0.484629294755877</c:v>
                </c:pt>
                <c:pt idx="12">
                  <c:v>0.469835466179159</c:v>
                </c:pt>
                <c:pt idx="13">
                  <c:v>0.456561922365989</c:v>
                </c:pt>
                <c:pt idx="14">
                  <c:v>0.443202979515829</c:v>
                </c:pt>
                <c:pt idx="15">
                  <c:v>0.432330827067669</c:v>
                </c:pt>
              </c:numCache>
            </c:numRef>
          </c:yVal>
          <c:smooth val="1"/>
        </c:ser>
        <c:ser>
          <c:idx val="1"/>
          <c:order val="1"/>
          <c:tx>
            <c:strRef>
              <c:f>Sheet1!$J$1</c:f>
              <c:strCache>
                <c:ptCount val="1"/>
                <c:pt idx="0">
                  <c:v>qs1/qr1</c:v>
                </c:pt>
              </c:strCache>
            </c:strRef>
          </c:tx>
          <c:spPr>
            <a:ln w="3171" cap="rnd" cmpd="sng" algn="ctr">
              <a:solidFill>
                <a:srgbClr val="000000"/>
              </a:solidFill>
              <a:prstDash val="solid"/>
              <a:round/>
            </a:ln>
          </c:spPr>
          <c:marker>
            <c:symbol val="none"/>
          </c:marker>
          <c:dLbls>
            <c:delete val="1"/>
          </c:dLbls>
          <c:xVal>
            <c:numRef>
              <c:f>Sheet1!$A$2:$A$17</c:f>
              <c:numCache>
                <c:formatCode>General</c:formatCode>
                <c:ptCount val="16"/>
                <c:pt idx="0">
                  <c:v>0.5</c:v>
                </c:pt>
                <c:pt idx="1">
                  <c:v>0.6</c:v>
                </c:pt>
                <c:pt idx="2">
                  <c:v>0.7</c:v>
                </c:pt>
                <c:pt idx="3">
                  <c:v>0.8</c:v>
                </c:pt>
                <c:pt idx="4">
                  <c:v>0.9</c:v>
                </c:pt>
                <c:pt idx="5">
                  <c:v>1</c:v>
                </c:pt>
                <c:pt idx="6">
                  <c:v>1.1</c:v>
                </c:pt>
                <c:pt idx="7">
                  <c:v>1.2</c:v>
                </c:pt>
                <c:pt idx="8">
                  <c:v>1.3</c:v>
                </c:pt>
                <c:pt idx="9">
                  <c:v>1.4</c:v>
                </c:pt>
                <c:pt idx="10">
                  <c:v>1.5</c:v>
                </c:pt>
                <c:pt idx="11">
                  <c:v>1.6</c:v>
                </c:pt>
                <c:pt idx="12">
                  <c:v>1.7</c:v>
                </c:pt>
                <c:pt idx="13">
                  <c:v>1.8</c:v>
                </c:pt>
                <c:pt idx="14">
                  <c:v>1.9</c:v>
                </c:pt>
                <c:pt idx="15">
                  <c:v>2</c:v>
                </c:pt>
              </c:numCache>
            </c:numRef>
          </c:xVal>
          <c:yVal>
            <c:numRef>
              <c:f>Sheet1!$J$2:$J$17</c:f>
              <c:numCache>
                <c:formatCode>General</c:formatCode>
                <c:ptCount val="16"/>
                <c:pt idx="0">
                  <c:v>1.00536193029491</c:v>
                </c:pt>
                <c:pt idx="1">
                  <c:v>0.876216968011127</c:v>
                </c:pt>
                <c:pt idx="2">
                  <c:v>0.785919540229885</c:v>
                </c:pt>
                <c:pt idx="3">
                  <c:v>0.718289085545723</c:v>
                </c:pt>
                <c:pt idx="4">
                  <c:v>0.665158371040724</c:v>
                </c:pt>
                <c:pt idx="5">
                  <c:v>0.622119815668203</c:v>
                </c:pt>
                <c:pt idx="6">
                  <c:v>0.585023400936037</c:v>
                </c:pt>
                <c:pt idx="7">
                  <c:v>0.555379746835443</c:v>
                </c:pt>
                <c:pt idx="8">
                  <c:v>0.530448717948718</c:v>
                </c:pt>
                <c:pt idx="9">
                  <c:v>0.506472491909385</c:v>
                </c:pt>
                <c:pt idx="10">
                  <c:v>0.486928104575164</c:v>
                </c:pt>
                <c:pt idx="11">
                  <c:v>0.469522240527183</c:v>
                </c:pt>
                <c:pt idx="12">
                  <c:v>0.45273631840796</c:v>
                </c:pt>
                <c:pt idx="13">
                  <c:v>0.43906510851419</c:v>
                </c:pt>
                <c:pt idx="14">
                  <c:v>0.425210084033614</c:v>
                </c:pt>
                <c:pt idx="15">
                  <c:v>0.412859560067682</c:v>
                </c:pt>
              </c:numCache>
            </c:numRef>
          </c:yVal>
          <c:smooth val="1"/>
        </c:ser>
        <c:dLbls>
          <c:showLegendKey val="0"/>
          <c:showVal val="0"/>
          <c:showCatName val="0"/>
          <c:showSerName val="0"/>
          <c:showPercent val="0"/>
          <c:showBubbleSize val="0"/>
        </c:dLbls>
        <c:axId val="285022464"/>
        <c:axId val="163533184"/>
      </c:scatterChart>
      <c:valAx>
        <c:axId val="285022464"/>
        <c:scaling>
          <c:orientation val="minMax"/>
          <c:max val="2"/>
          <c:min val="0.5"/>
        </c:scaling>
        <c:delete val="0"/>
        <c:axPos val="b"/>
        <c:title>
          <c:tx>
            <c:rich>
              <a:bodyPr rot="0" spcFirstLastPara="0" vertOverflow="ellipsis" vert="horz" wrap="square" anchor="ctr" anchorCtr="1"/>
              <a:lstStyle/>
              <a:p>
                <a:pPr>
                  <a:defRPr lang="zh-CN" sz="5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en-US"/>
                  <a:t>lemda</a:t>
                </a:r>
                <a:endParaRPr lang="en-US" altLang="en-US"/>
              </a:p>
            </c:rich>
          </c:tx>
          <c:layout>
            <c:manualLayout>
              <c:xMode val="edge"/>
              <c:yMode val="edge"/>
              <c:x val="0.879069767441861"/>
              <c:y val="0.901734104046243"/>
            </c:manualLayout>
          </c:layout>
          <c:overlay val="0"/>
          <c:spPr>
            <a:noFill/>
            <a:ln w="25371">
              <a:noFill/>
            </a:ln>
          </c:spPr>
        </c:title>
        <c:numFmt formatCode="General" sourceLinked="1"/>
        <c:majorTickMark val="in"/>
        <c:minorTickMark val="none"/>
        <c:tickLblPos val="nextTo"/>
        <c:spPr>
          <a:ln w="3171" cap="flat" cmpd="sng" algn="ctr">
            <a:solidFill>
              <a:srgbClr val="000000"/>
            </a:solidFill>
            <a:prstDash val="solid"/>
            <a:round/>
          </a:ln>
        </c:spPr>
        <c:txPr>
          <a:bodyPr rot="0" spcFirstLastPara="0" vertOverflow="ellipsis" vert="horz" wrap="square" anchor="ctr" anchorCtr="1"/>
          <a:lstStyle/>
          <a:p>
            <a:pPr>
              <a:defRPr lang="zh-CN" sz="4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63533184"/>
        <c:crosses val="autoZero"/>
        <c:crossBetween val="midCat"/>
      </c:valAx>
      <c:valAx>
        <c:axId val="163533184"/>
        <c:scaling>
          <c:orientation val="minMax"/>
        </c:scaling>
        <c:delete val="0"/>
        <c:axPos val="l"/>
        <c:numFmt formatCode="General" sourceLinked="1"/>
        <c:majorTickMark val="in"/>
        <c:minorTickMark val="none"/>
        <c:tickLblPos val="nextTo"/>
        <c:spPr>
          <a:ln w="3171" cap="flat" cmpd="sng" algn="ctr">
            <a:solidFill>
              <a:srgbClr val="000000"/>
            </a:solidFill>
            <a:prstDash val="solid"/>
            <a:round/>
          </a:ln>
        </c:spPr>
        <c:txPr>
          <a:bodyPr rot="0" spcFirstLastPara="0" vertOverflow="ellipsis" vert="horz" wrap="square" anchor="ctr" anchorCtr="1"/>
          <a:lstStyle/>
          <a:p>
            <a:pPr>
              <a:defRPr lang="zh-CN" sz="4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85022464"/>
        <c:crosses val="autoZero"/>
        <c:crossBetween val="midCat"/>
      </c:valAx>
      <c:spPr>
        <a:noFill/>
        <a:ln w="25371">
          <a:noFill/>
        </a:ln>
      </c:spPr>
    </c:plotArea>
    <c:plotVisOnly val="1"/>
    <c:dispBlanksAs val="gap"/>
    <c:showDLblsOverMax val="0"/>
  </c:chart>
  <c:spPr>
    <a:noFill/>
    <a:ln w="6350" cap="flat" cmpd="sng" algn="ctr">
      <a:noFill/>
      <a:prstDash val="solid"/>
      <a:round/>
    </a:ln>
  </c:spPr>
  <c:txPr>
    <a:bodyPr/>
    <a:lstStyle/>
    <a:p>
      <a:pPr>
        <a:defRPr lang="zh-CN" sz="37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93023255814"/>
          <c:y val="0.046242774566474"/>
          <c:w val="0.813953488372093"/>
          <c:h val="0.763005780346821"/>
        </c:manualLayout>
      </c:layout>
      <c:scatterChart>
        <c:scatterStyle val="smoothMarker"/>
        <c:varyColors val="0"/>
        <c:ser>
          <c:idx val="0"/>
          <c:order val="0"/>
          <c:tx>
            <c:strRef>
              <c:f>Sheet1!$G$1</c:f>
              <c:strCache>
                <c:ptCount val="1"/>
                <c:pt idx="0">
                  <c:v>kesi-b</c:v>
                </c:pt>
              </c:strCache>
            </c:strRef>
          </c:tx>
          <c:spPr>
            <a:ln w="3167" cap="rnd" cmpd="sng" algn="ctr">
              <a:solidFill>
                <a:srgbClr val="000000"/>
              </a:solidFill>
              <a:prstDash val="solid"/>
              <a:round/>
            </a:ln>
          </c:spPr>
          <c:marker>
            <c:symbol val="none"/>
          </c:marker>
          <c:dLbls>
            <c:delete val="1"/>
          </c:dLbls>
          <c:xVal>
            <c:numRef>
              <c:f>Sheet1!$A$2:$A$17</c:f>
              <c:numCache>
                <c:formatCode>General</c:formatCode>
                <c:ptCount val="16"/>
                <c:pt idx="0">
                  <c:v>0.5</c:v>
                </c:pt>
                <c:pt idx="1">
                  <c:v>0.6</c:v>
                </c:pt>
                <c:pt idx="2">
                  <c:v>0.7</c:v>
                </c:pt>
                <c:pt idx="3">
                  <c:v>0.8</c:v>
                </c:pt>
                <c:pt idx="4">
                  <c:v>0.9</c:v>
                </c:pt>
                <c:pt idx="5">
                  <c:v>1</c:v>
                </c:pt>
                <c:pt idx="6">
                  <c:v>1.1</c:v>
                </c:pt>
                <c:pt idx="7">
                  <c:v>1.2</c:v>
                </c:pt>
                <c:pt idx="8">
                  <c:v>1.3</c:v>
                </c:pt>
                <c:pt idx="9">
                  <c:v>1.4</c:v>
                </c:pt>
                <c:pt idx="10">
                  <c:v>1.5</c:v>
                </c:pt>
                <c:pt idx="11">
                  <c:v>1.6</c:v>
                </c:pt>
                <c:pt idx="12">
                  <c:v>1.7</c:v>
                </c:pt>
                <c:pt idx="13">
                  <c:v>1.8</c:v>
                </c:pt>
                <c:pt idx="14">
                  <c:v>1.9</c:v>
                </c:pt>
                <c:pt idx="15">
                  <c:v>2</c:v>
                </c:pt>
              </c:numCache>
            </c:numRef>
          </c:xVal>
          <c:yVal>
            <c:numRef>
              <c:f>Sheet1!$G$2:$G$17</c:f>
              <c:numCache>
                <c:formatCode>General</c:formatCode>
                <c:ptCount val="16"/>
                <c:pt idx="0">
                  <c:v>168</c:v>
                </c:pt>
                <c:pt idx="1">
                  <c:v>174</c:v>
                </c:pt>
                <c:pt idx="2">
                  <c:v>181</c:v>
                </c:pt>
                <c:pt idx="3">
                  <c:v>188</c:v>
                </c:pt>
                <c:pt idx="4">
                  <c:v>196</c:v>
                </c:pt>
                <c:pt idx="5">
                  <c:v>204</c:v>
                </c:pt>
                <c:pt idx="6">
                  <c:v>212</c:v>
                </c:pt>
                <c:pt idx="7">
                  <c:v>201</c:v>
                </c:pt>
                <c:pt idx="8">
                  <c:v>181</c:v>
                </c:pt>
                <c:pt idx="9">
                  <c:v>163</c:v>
                </c:pt>
                <c:pt idx="10">
                  <c:v>148</c:v>
                </c:pt>
                <c:pt idx="11">
                  <c:v>135</c:v>
                </c:pt>
                <c:pt idx="12">
                  <c:v>123</c:v>
                </c:pt>
                <c:pt idx="13">
                  <c:v>113</c:v>
                </c:pt>
                <c:pt idx="14">
                  <c:v>103</c:v>
                </c:pt>
                <c:pt idx="15">
                  <c:v>94</c:v>
                </c:pt>
              </c:numCache>
            </c:numRef>
          </c:yVal>
          <c:smooth val="1"/>
        </c:ser>
        <c:ser>
          <c:idx val="1"/>
          <c:order val="1"/>
          <c:tx>
            <c:strRef>
              <c:f>Sheet1!$H$1</c:f>
              <c:strCache>
                <c:ptCount val="1"/>
                <c:pt idx="0">
                  <c:v>kesi-s</c:v>
                </c:pt>
              </c:strCache>
            </c:strRef>
          </c:tx>
          <c:spPr>
            <a:ln w="3167" cap="rnd" cmpd="sng" algn="ctr">
              <a:solidFill>
                <a:srgbClr val="000000"/>
              </a:solidFill>
              <a:prstDash val="solid"/>
              <a:round/>
            </a:ln>
          </c:spPr>
          <c:marker>
            <c:symbol val="none"/>
          </c:marker>
          <c:dLbls>
            <c:delete val="1"/>
          </c:dLbls>
          <c:xVal>
            <c:numRef>
              <c:f>Sheet1!$A$2:$A$17</c:f>
              <c:numCache>
                <c:formatCode>General</c:formatCode>
                <c:ptCount val="16"/>
                <c:pt idx="0">
                  <c:v>0.5</c:v>
                </c:pt>
                <c:pt idx="1">
                  <c:v>0.6</c:v>
                </c:pt>
                <c:pt idx="2">
                  <c:v>0.7</c:v>
                </c:pt>
                <c:pt idx="3">
                  <c:v>0.8</c:v>
                </c:pt>
                <c:pt idx="4">
                  <c:v>0.9</c:v>
                </c:pt>
                <c:pt idx="5">
                  <c:v>1</c:v>
                </c:pt>
                <c:pt idx="6">
                  <c:v>1.1</c:v>
                </c:pt>
                <c:pt idx="7">
                  <c:v>1.2</c:v>
                </c:pt>
                <c:pt idx="8">
                  <c:v>1.3</c:v>
                </c:pt>
                <c:pt idx="9">
                  <c:v>1.4</c:v>
                </c:pt>
                <c:pt idx="10">
                  <c:v>1.5</c:v>
                </c:pt>
                <c:pt idx="11">
                  <c:v>1.6</c:v>
                </c:pt>
                <c:pt idx="12">
                  <c:v>1.7</c:v>
                </c:pt>
                <c:pt idx="13">
                  <c:v>1.8</c:v>
                </c:pt>
                <c:pt idx="14">
                  <c:v>1.9</c:v>
                </c:pt>
                <c:pt idx="15">
                  <c:v>2</c:v>
                </c:pt>
              </c:numCache>
            </c:numRef>
          </c:xVal>
          <c:yVal>
            <c:numRef>
              <c:f>Sheet1!$H$2:$H$17</c:f>
              <c:numCache>
                <c:formatCode>General</c:formatCode>
                <c:ptCount val="16"/>
                <c:pt idx="0">
                  <c:v>600</c:v>
                </c:pt>
                <c:pt idx="1">
                  <c:v>480</c:v>
                </c:pt>
                <c:pt idx="2">
                  <c:v>397</c:v>
                </c:pt>
                <c:pt idx="3">
                  <c:v>337</c:v>
                </c:pt>
                <c:pt idx="4">
                  <c:v>291</c:v>
                </c:pt>
                <c:pt idx="5">
                  <c:v>255</c:v>
                </c:pt>
                <c:pt idx="6">
                  <c:v>225</c:v>
                </c:pt>
                <c:pt idx="7">
                  <c:v>201</c:v>
                </c:pt>
                <c:pt idx="8">
                  <c:v>181</c:v>
                </c:pt>
                <c:pt idx="9">
                  <c:v>163</c:v>
                </c:pt>
                <c:pt idx="10">
                  <c:v>148</c:v>
                </c:pt>
                <c:pt idx="11">
                  <c:v>135</c:v>
                </c:pt>
                <c:pt idx="12">
                  <c:v>123</c:v>
                </c:pt>
                <c:pt idx="13">
                  <c:v>113</c:v>
                </c:pt>
                <c:pt idx="14">
                  <c:v>103</c:v>
                </c:pt>
                <c:pt idx="15">
                  <c:v>94</c:v>
                </c:pt>
              </c:numCache>
            </c:numRef>
          </c:yVal>
          <c:smooth val="1"/>
        </c:ser>
        <c:dLbls>
          <c:showLegendKey val="0"/>
          <c:showVal val="0"/>
          <c:showCatName val="0"/>
          <c:showSerName val="0"/>
          <c:showPercent val="0"/>
          <c:showBubbleSize val="0"/>
        </c:dLbls>
        <c:axId val="284922624"/>
        <c:axId val="284924544"/>
      </c:scatterChart>
      <c:valAx>
        <c:axId val="284922624"/>
        <c:scaling>
          <c:orientation val="minMax"/>
          <c:max val="2"/>
          <c:min val="0.5"/>
        </c:scaling>
        <c:delete val="0"/>
        <c:axPos val="b"/>
        <c:title>
          <c:tx>
            <c:rich>
              <a:bodyPr rot="0" spcFirstLastPara="0" vertOverflow="ellipsis" vert="horz" wrap="square" anchor="ctr" anchorCtr="1"/>
              <a:lstStyle/>
              <a:p>
                <a:pPr>
                  <a:defRPr lang="zh-CN" sz="5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en-US"/>
                  <a:t>lemda</a:t>
                </a:r>
                <a:endParaRPr lang="en-US" altLang="en-US"/>
              </a:p>
            </c:rich>
          </c:tx>
          <c:layout>
            <c:manualLayout>
              <c:xMode val="edge"/>
              <c:yMode val="edge"/>
              <c:x val="0.855813953488373"/>
              <c:y val="0.907514450867052"/>
            </c:manualLayout>
          </c:layout>
          <c:overlay val="0"/>
          <c:spPr>
            <a:noFill/>
            <a:ln w="25334">
              <a:noFill/>
            </a:ln>
          </c:spPr>
        </c:title>
        <c:numFmt formatCode="General" sourceLinked="1"/>
        <c:majorTickMark val="in"/>
        <c:minorTickMark val="none"/>
        <c:tickLblPos val="nextTo"/>
        <c:spPr>
          <a:ln w="3167" cap="flat" cmpd="sng" algn="ctr">
            <a:solidFill>
              <a:srgbClr val="000000"/>
            </a:solidFill>
            <a:prstDash val="solid"/>
            <a:round/>
          </a:ln>
        </c:spPr>
        <c:txPr>
          <a:bodyPr rot="0" spcFirstLastPara="0" vertOverflow="ellipsis" vert="horz" wrap="square" anchor="ctr" anchorCtr="1"/>
          <a:lstStyle/>
          <a:p>
            <a:pPr>
              <a:defRPr lang="zh-CN" sz="4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84924544"/>
        <c:crosses val="autoZero"/>
        <c:crossBetween val="midCat"/>
      </c:valAx>
      <c:valAx>
        <c:axId val="284924544"/>
        <c:scaling>
          <c:orientation val="minMax"/>
        </c:scaling>
        <c:delete val="0"/>
        <c:axPos val="l"/>
        <c:numFmt formatCode="General" sourceLinked="1"/>
        <c:majorTickMark val="in"/>
        <c:minorTickMark val="none"/>
        <c:tickLblPos val="nextTo"/>
        <c:spPr>
          <a:ln w="3167" cap="flat" cmpd="sng" algn="ctr">
            <a:solidFill>
              <a:srgbClr val="000000"/>
            </a:solidFill>
            <a:prstDash val="solid"/>
            <a:round/>
          </a:ln>
        </c:spPr>
        <c:txPr>
          <a:bodyPr rot="0" spcFirstLastPara="0" vertOverflow="ellipsis" vert="horz" wrap="square" anchor="ctr" anchorCtr="1"/>
          <a:lstStyle/>
          <a:p>
            <a:pPr>
              <a:defRPr lang="zh-CN" sz="4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84922624"/>
        <c:crosses val="autoZero"/>
        <c:crossBetween val="midCat"/>
      </c:valAx>
      <c:spPr>
        <a:noFill/>
        <a:ln w="25334">
          <a:noFill/>
        </a:ln>
      </c:spPr>
    </c:plotArea>
    <c:plotVisOnly val="1"/>
    <c:dispBlanksAs val="gap"/>
    <c:showDLblsOverMax val="0"/>
  </c:chart>
  <c:spPr>
    <a:noFill/>
    <a:ln w="6350" cap="flat" cmpd="sng" algn="ctr">
      <a:noFill/>
      <a:prstDash val="solid"/>
      <a:round/>
    </a:ln>
  </c:spPr>
  <c:txPr>
    <a:bodyPr/>
    <a:lstStyle/>
    <a:p>
      <a:pPr>
        <a:defRPr lang="zh-CN" sz="37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0.36375</cdr:x>
      <cdr:y>0.3205</cdr:y>
    </cdr:from>
    <cdr:to>
      <cdr:x>0.78775</cdr:x>
      <cdr:y>0.43125</cdr:y>
    </cdr:to>
    <cdr:sp>
      <cdr:nvSpPr>
        <cdr:cNvPr id="2" name="矩形 1"/>
        <cdr:cNvSpPr>
          <a14:cpLocks xmlns:a14="http://schemas.microsoft.com/office/drawing/2010/main" noChangeArrowheads="1"/>
        </cdr:cNvSpPr>
      </cdr:nvSpPr>
      <cdr:spPr xmlns:a="http://schemas.openxmlformats.org/drawingml/2006/main">
        <a:xfrm xmlns:a="http://schemas.openxmlformats.org/drawingml/2006/main">
          <a:off x="744915" y="528128"/>
          <a:ext cx="868299" cy="182497"/>
        </a:xfrm>
        <a:prstGeom xmlns:a="http://schemas.openxmlformats.org/drawingml/2006/main" prst="rect">
          <a:avLst/>
        </a:prstGeom>
        <a:noFill/>
        <a:ln>
          <a:noFill/>
        </a:ln>
        <a:effectLst/>
      </cdr:spPr>
      <cdr:txBody xmlns:a="http://schemas.openxmlformats.org/drawingml/2006/main">
        <a:bodyPr vertOverflow="clip" vert="horz" wrap="square" lIns="18288" tIns="18288" rIns="18288" bIns="18288" anchor="ctr" anchorCtr="0" upright="1">
          <a:normAutofit/>
        </a:bodyPr>
        <a:lstStyle/>
        <a:p>
          <a:pPr algn="ctr" rtl="0">
            <a:defRPr sz="1000"/>
          </a:pPr>
          <a:r>
            <a:rPr lang="zh-CN" altLang="en-US" sz="575" b="0" i="0" u="none" strike="noStrike" baseline="0">
              <a:solidFill>
                <a:srgbClr val="000000"/>
              </a:solidFill>
              <a:latin typeface="宋体" panose="02010600030101010101" charset="-122"/>
              <a:ea typeface="宋体" panose="02010600030101010101" charset="-122"/>
            </a:rPr>
            <a:t>供应商申请的融资额度</a:t>
          </a:r>
          <a:endParaRPr lang="zh-CN" altLang="en-US" sz="575" b="0" i="0" u="none" strike="noStrike" baseline="0">
            <a:solidFill>
              <a:srgbClr val="000000"/>
            </a:solidFill>
            <a:latin typeface="宋体" panose="02010600030101010101" charset="-122"/>
            <a:ea typeface="宋体" panose="02010600030101010101" charset="-122"/>
          </a:endParaRPr>
        </a:p>
      </cdr:txBody>
    </cdr:sp>
  </cdr:relSizeAnchor>
  <cdr:relSizeAnchor xmlns:cdr="http://schemas.openxmlformats.org/drawingml/2006/chartDrawing">
    <cdr:from>
      <cdr:x>0.231</cdr:x>
      <cdr:y>0.6845</cdr:y>
    </cdr:from>
    <cdr:to>
      <cdr:x>0.62825</cdr:x>
      <cdr:y>0.773</cdr:y>
    </cdr:to>
    <cdr:sp>
      <cdr:nvSpPr>
        <cdr:cNvPr id="3" name="矩形 2"/>
        <cdr:cNvSpPr>
          <a14:cpLocks xmlns:a14="http://schemas.microsoft.com/office/drawing/2010/main" noChangeArrowheads="1"/>
        </cdr:cNvSpPr>
      </cdr:nvSpPr>
      <cdr:spPr xmlns:a="http://schemas.openxmlformats.org/drawingml/2006/main">
        <a:xfrm xmlns:a="http://schemas.openxmlformats.org/drawingml/2006/main">
          <a:off x="473059" y="1127936"/>
          <a:ext cx="813518" cy="145833"/>
        </a:xfrm>
        <a:prstGeom xmlns:a="http://schemas.openxmlformats.org/drawingml/2006/main" prst="rect">
          <a:avLst/>
        </a:prstGeom>
        <a:noFill/>
        <a:ln>
          <a:noFill/>
        </a:ln>
        <a:effectLst/>
      </cdr:spPr>
      <cdr:txBody xmlns:a="http://schemas.openxmlformats.org/drawingml/2006/main">
        <a:bodyPr vertOverflow="clip" vert="horz" wrap="square" lIns="18288" tIns="18288" rIns="18288" bIns="18288" anchor="ctr" anchorCtr="0" upright="1">
          <a:normAutofit/>
        </a:bodyPr>
        <a:lstStyle/>
        <a:p>
          <a:pPr algn="ctr" rtl="0">
            <a:defRPr sz="1000"/>
          </a:pPr>
          <a:r>
            <a:rPr lang="zh-CN" altLang="en-US" sz="575" b="0" i="0" u="none" strike="noStrike" baseline="0">
              <a:solidFill>
                <a:srgbClr val="000000"/>
              </a:solidFill>
              <a:latin typeface="宋体" panose="02010600030101010101" charset="-122"/>
              <a:ea typeface="宋体" panose="02010600030101010101" charset="-122"/>
            </a:rPr>
            <a:t>银行决策的融资额度</a:t>
          </a:r>
          <a:endParaRPr lang="zh-CN" altLang="en-US" sz="575" b="0" i="0" u="none" strike="noStrike" baseline="0">
            <a:solidFill>
              <a:srgbClr val="000000"/>
            </a:solidFill>
            <a:latin typeface="宋体" panose="02010600030101010101" charset="-122"/>
            <a:ea typeface="宋体" panose="02010600030101010101" charset="-122"/>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0.34725</cdr:x>
      <cdr:y>0.15475</cdr:y>
    </cdr:from>
    <cdr:to>
      <cdr:x>0.52225</cdr:x>
      <cdr:y>0.2745</cdr:y>
    </cdr:to>
    <cdr:sp>
      <cdr:nvSpPr>
        <cdr:cNvPr id="2" name="矩形 1"/>
        <cdr:cNvSpPr>
          <a14:cpLocks xmlns:a14="http://schemas.microsoft.com/office/drawing/2010/main" noChangeArrowheads="1"/>
        </cdr:cNvSpPr>
      </cdr:nvSpPr>
      <cdr:spPr xmlns:a="http://schemas.openxmlformats.org/drawingml/2006/main">
        <a:xfrm xmlns:a="http://schemas.openxmlformats.org/drawingml/2006/main">
          <a:off x="711125" y="255001"/>
          <a:ext cx="358378" cy="197327"/>
        </a:xfrm>
        <a:prstGeom xmlns:a="http://schemas.openxmlformats.org/drawingml/2006/main" prst="rect">
          <a:avLst/>
        </a:prstGeom>
        <a:noFill/>
        <a:ln>
          <a:noFill/>
        </a:ln>
        <a:effectLst/>
      </cdr:spPr>
      <cdr:txBody xmlns:a="http://schemas.openxmlformats.org/drawingml/2006/main">
        <a:bodyPr vertOverflow="clip" vert="horz" wrap="square" lIns="18288" tIns="18288" rIns="18288" bIns="18288" anchor="ctr" anchorCtr="0" upright="1">
          <a:normAutofit/>
        </a:bodyPr>
        <a:lstStyle/>
        <a:p>
          <a:pPr algn="ctr" rtl="0">
            <a:defRPr sz="1000"/>
          </a:pPr>
          <a:r>
            <a:rPr lang="zh-CN" altLang="en-US" sz="575" b="0" i="0" u="none" strike="noStrike" baseline="0">
              <a:solidFill>
                <a:srgbClr val="000000"/>
              </a:solidFill>
              <a:latin typeface="宋体" panose="02010600030101010101" charset="-122"/>
              <a:ea typeface="宋体" panose="02010600030101010101" charset="-122"/>
            </a:rPr>
            <a:t>qs1/qr1</a:t>
          </a:r>
          <a:endParaRPr lang="zh-CN" altLang="en-US" sz="575" b="0" i="0" u="none" strike="noStrike" baseline="0">
            <a:solidFill>
              <a:srgbClr val="000000"/>
            </a:solidFill>
            <a:latin typeface="宋体" panose="02010600030101010101" charset="-122"/>
            <a:ea typeface="宋体" panose="02010600030101010101" charset="-122"/>
          </a:endParaRPr>
        </a:p>
      </cdr:txBody>
    </cdr:sp>
  </cdr:relSizeAnchor>
  <cdr:relSizeAnchor xmlns:cdr="http://schemas.openxmlformats.org/drawingml/2006/chartDrawing">
    <cdr:from>
      <cdr:x>0.17675</cdr:x>
      <cdr:y>0.4705</cdr:y>
    </cdr:from>
    <cdr:to>
      <cdr:x>0.37175</cdr:x>
      <cdr:y>0.5975</cdr:y>
    </cdr:to>
    <cdr:sp>
      <cdr:nvSpPr>
        <cdr:cNvPr id="3" name="矩形 2"/>
        <cdr:cNvSpPr>
          <a14:cpLocks xmlns:a14="http://schemas.microsoft.com/office/drawing/2010/main" noChangeArrowheads="1"/>
        </cdr:cNvSpPr>
      </cdr:nvSpPr>
      <cdr:spPr xmlns:a="http://schemas.openxmlformats.org/drawingml/2006/main">
        <a:xfrm xmlns:a="http://schemas.openxmlformats.org/drawingml/2006/main">
          <a:off x="361962" y="775302"/>
          <a:ext cx="399336" cy="209273"/>
        </a:xfrm>
        <a:prstGeom xmlns:a="http://schemas.openxmlformats.org/drawingml/2006/main" prst="rect">
          <a:avLst/>
        </a:prstGeom>
        <a:noFill/>
        <a:ln>
          <a:noFill/>
        </a:ln>
        <a:effectLst/>
      </cdr:spPr>
      <cdr:txBody xmlns:a="http://schemas.openxmlformats.org/drawingml/2006/main">
        <a:bodyPr vertOverflow="clip" vert="horz" wrap="square" lIns="18288" tIns="18288" rIns="18288" bIns="18288" anchor="ctr" anchorCtr="0" upright="1">
          <a:normAutofit/>
        </a:bodyPr>
        <a:lstStyle/>
        <a:p>
          <a:pPr algn="ctr" rtl="0">
            <a:defRPr sz="1000"/>
          </a:pPr>
          <a:r>
            <a:rPr lang="zh-CN" altLang="en-US" sz="575" b="0" i="0" u="none" strike="noStrike" baseline="0">
              <a:solidFill>
                <a:srgbClr val="000000"/>
              </a:solidFill>
              <a:latin typeface="宋体" panose="02010600030101010101" charset="-122"/>
              <a:ea typeface="宋体" panose="02010600030101010101" charset="-122"/>
            </a:rPr>
            <a:t>qs0/qr0</a:t>
          </a:r>
          <a:endParaRPr lang="zh-CN" altLang="en-US" sz="575" b="0" i="0" u="none" strike="noStrike" baseline="0">
            <a:solidFill>
              <a:srgbClr val="000000"/>
            </a:solidFill>
            <a:latin typeface="宋体" panose="02010600030101010101" charset="-122"/>
            <a:ea typeface="宋体" panose="02010600030101010101" charset="-122"/>
          </a:endParaRP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D4D127-BCF0-4F9B-A46E-DD0687BCE7E8}">
  <ds:schemaRefs/>
</ds:datastoreItem>
</file>

<file path=docProps/app.xml><?xml version="1.0" encoding="utf-8"?>
<Properties xmlns="http://schemas.openxmlformats.org/officeDocument/2006/extended-properties" xmlns:vt="http://schemas.openxmlformats.org/officeDocument/2006/docPropsVTypes">
  <Template>Normal.dotm</Template>
  <Company>cumtms</Company>
  <Pages>1</Pages>
  <Words>1170</Words>
  <Characters>6669</Characters>
  <Lines>55</Lines>
  <Paragraphs>15</Paragraphs>
  <TotalTime>62</TotalTime>
  <ScaleCrop>false</ScaleCrop>
  <LinksUpToDate>false</LinksUpToDate>
  <CharactersWithSpaces>7824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2016-11-02T06:28:00Z</dcterms:created>
  <dc:creator>sfp</dc:creator>
  <cp:lastModifiedBy>dell</cp:lastModifiedBy>
  <dcterms:modified xsi:type="dcterms:W3CDTF">2020-07-04T02:32:05Z</dcterms:modified>
  <dc:title>2008年管理学院研究生论坛论文格式</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